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70EC9" w14:textId="77777777" w:rsidR="00C747A3" w:rsidRPr="00C747A3" w:rsidRDefault="00881B4A" w:rsidP="00881B4A">
      <w:pPr>
        <w:spacing w:line="240" w:lineRule="auto"/>
        <w:jc w:val="center"/>
        <w:rPr>
          <w:rFonts w:eastAsia="Calibri" w:cs="Times New Roman"/>
          <w:b/>
          <w:szCs w:val="24"/>
        </w:rPr>
      </w:pPr>
      <w:r>
        <w:rPr>
          <w:rFonts w:eastAsia="Calibri" w:cs="Times New Roman"/>
          <w:b/>
          <w:szCs w:val="24"/>
        </w:rPr>
        <w:t>UNITED STATES DISTRICT COURT</w:t>
      </w:r>
    </w:p>
    <w:p w14:paraId="6CFEFB3A" w14:textId="77777777" w:rsidR="00C747A3" w:rsidRPr="00C747A3" w:rsidRDefault="00C747A3" w:rsidP="00C747A3">
      <w:pPr>
        <w:spacing w:line="240" w:lineRule="auto"/>
        <w:ind w:left="107"/>
        <w:jc w:val="center"/>
        <w:rPr>
          <w:rFonts w:eastAsia="Times New Roman" w:cs="Times New Roman"/>
          <w:b/>
          <w:szCs w:val="24"/>
        </w:rPr>
      </w:pPr>
      <w:r w:rsidRPr="00C747A3">
        <w:rPr>
          <w:rFonts w:eastAsia="Calibri" w:cs="Times New Roman"/>
          <w:b/>
          <w:szCs w:val="24"/>
        </w:rPr>
        <w:t>DISTRICT OF MOOT</w:t>
      </w:r>
    </w:p>
    <w:tbl>
      <w:tblPr>
        <w:tblStyle w:val="TableGrid1"/>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881B4A" w:rsidRPr="00B06967" w14:paraId="3E234441" w14:textId="77777777" w:rsidTr="00483BFE">
        <w:trPr>
          <w:gridAfter w:val="1"/>
          <w:wAfter w:w="4788" w:type="dxa"/>
        </w:trPr>
        <w:tc>
          <w:tcPr>
            <w:tcW w:w="4788" w:type="dxa"/>
          </w:tcPr>
          <w:p w14:paraId="0CF8C17B" w14:textId="77777777" w:rsidR="00881B4A" w:rsidRPr="00B06967" w:rsidRDefault="00881B4A" w:rsidP="00483BFE">
            <w:pPr>
              <w:spacing w:line="240" w:lineRule="auto"/>
              <w:rPr>
                <w:rFonts w:eastAsia="Calibri"/>
              </w:rPr>
            </w:pPr>
          </w:p>
        </w:tc>
      </w:tr>
      <w:tr w:rsidR="00C747A3" w:rsidRPr="00B06967" w14:paraId="4F6E04FA" w14:textId="77777777" w:rsidTr="00483BFE">
        <w:tc>
          <w:tcPr>
            <w:tcW w:w="4788" w:type="dxa"/>
          </w:tcPr>
          <w:p w14:paraId="69FE50C5" w14:textId="77777777" w:rsidR="00C747A3" w:rsidRPr="00B06967" w:rsidRDefault="00C747A3" w:rsidP="00483BFE">
            <w:pPr>
              <w:spacing w:line="240" w:lineRule="auto"/>
              <w:rPr>
                <w:rFonts w:eastAsia="Calibri"/>
              </w:rPr>
            </w:pPr>
          </w:p>
          <w:p w14:paraId="5C6D89A1" w14:textId="77777777" w:rsidR="00C747A3" w:rsidRPr="00B06967" w:rsidRDefault="009E6A42" w:rsidP="00206A8D">
            <w:pPr>
              <w:spacing w:line="240" w:lineRule="auto"/>
              <w:rPr>
                <w:rFonts w:eastAsia="Calibri"/>
              </w:rPr>
            </w:pPr>
            <w:r>
              <w:rPr>
                <w:rFonts w:eastAsia="Calibri"/>
              </w:rPr>
              <w:t>OGS TV, Inc</w:t>
            </w:r>
            <w:r w:rsidR="00C747A3">
              <w:rPr>
                <w:rFonts w:eastAsia="Calibri"/>
              </w:rPr>
              <w:t>.</w:t>
            </w:r>
            <w:r w:rsidR="00AA6DE9">
              <w:rPr>
                <w:rFonts w:eastAsia="Calibri"/>
              </w:rPr>
              <w:t>,</w:t>
            </w:r>
            <w:r w:rsidR="00206A8D">
              <w:rPr>
                <w:rFonts w:eastAsia="Calibri"/>
              </w:rPr>
              <w:t xml:space="preserve">  </w:t>
            </w:r>
            <w:r w:rsidR="00C747A3">
              <w:rPr>
                <w:rFonts w:eastAsia="Calibri"/>
              </w:rPr>
              <w:t>Plaintiff</w:t>
            </w:r>
            <w:r w:rsidR="00AA6DE9">
              <w:rPr>
                <w:rFonts w:eastAsia="Calibri"/>
              </w:rPr>
              <w:t>,</w:t>
            </w:r>
          </w:p>
          <w:p w14:paraId="7145CD30" w14:textId="77777777" w:rsidR="00C747A3" w:rsidRPr="00B06967" w:rsidRDefault="00C747A3" w:rsidP="00483BFE">
            <w:pPr>
              <w:spacing w:line="240" w:lineRule="auto"/>
              <w:rPr>
                <w:rFonts w:eastAsia="Calibri"/>
              </w:rPr>
            </w:pPr>
            <w:r w:rsidRPr="00B06967">
              <w:rPr>
                <w:rFonts w:eastAsia="Calibri"/>
              </w:rPr>
              <w:t>vs.</w:t>
            </w:r>
          </w:p>
          <w:p w14:paraId="1DDD9344" w14:textId="77777777" w:rsidR="00C747A3" w:rsidRPr="00B06967" w:rsidRDefault="009E6A42" w:rsidP="00483BFE">
            <w:pPr>
              <w:spacing w:line="240" w:lineRule="auto"/>
              <w:rPr>
                <w:rFonts w:eastAsia="Calibri"/>
              </w:rPr>
            </w:pPr>
            <w:r>
              <w:rPr>
                <w:rFonts w:eastAsia="Calibri"/>
              </w:rPr>
              <w:t>Elizabeth Lime</w:t>
            </w:r>
            <w:r w:rsidR="00C747A3">
              <w:rPr>
                <w:rFonts w:eastAsia="Calibri"/>
              </w:rPr>
              <w:t xml:space="preserve"> and </w:t>
            </w:r>
            <w:proofErr w:type="spellStart"/>
            <w:r w:rsidR="00C747A3">
              <w:rPr>
                <w:rFonts w:eastAsia="Calibri"/>
              </w:rPr>
              <w:t>TinyTV</w:t>
            </w:r>
            <w:proofErr w:type="spellEnd"/>
            <w:r w:rsidR="00C747A3">
              <w:rPr>
                <w:rFonts w:eastAsia="Calibri"/>
              </w:rPr>
              <w:t>, Inc.</w:t>
            </w:r>
            <w:r>
              <w:rPr>
                <w:rFonts w:eastAsia="Calibri"/>
              </w:rPr>
              <w:t>,</w:t>
            </w:r>
          </w:p>
          <w:p w14:paraId="58674FAC" w14:textId="77777777" w:rsidR="00C747A3" w:rsidRPr="00B06967" w:rsidRDefault="00C747A3" w:rsidP="00483BFE">
            <w:pPr>
              <w:spacing w:line="240" w:lineRule="auto"/>
              <w:rPr>
                <w:rFonts w:eastAsia="Calibri"/>
              </w:rPr>
            </w:pPr>
          </w:p>
          <w:p w14:paraId="0E686DA0" w14:textId="77777777" w:rsidR="00C747A3" w:rsidRPr="00B06967" w:rsidRDefault="00C747A3" w:rsidP="00206A8D">
            <w:pPr>
              <w:spacing w:line="240" w:lineRule="auto"/>
              <w:ind w:left="720"/>
              <w:rPr>
                <w:rFonts w:eastAsia="Calibri"/>
              </w:rPr>
            </w:pPr>
            <w:r w:rsidRPr="00B06967">
              <w:rPr>
                <w:rFonts w:eastAsia="Calibri"/>
              </w:rPr>
              <w:t>Defendants.</w:t>
            </w:r>
          </w:p>
        </w:tc>
        <w:tc>
          <w:tcPr>
            <w:tcW w:w="4788" w:type="dxa"/>
            <w:vAlign w:val="center"/>
          </w:tcPr>
          <w:p w14:paraId="57425B6E" w14:textId="77777777" w:rsidR="009E6A42" w:rsidRDefault="00C747A3" w:rsidP="00206A8D">
            <w:pPr>
              <w:spacing w:line="240" w:lineRule="auto"/>
              <w:ind w:left="252"/>
              <w:rPr>
                <w:rFonts w:eastAsia="Calibri"/>
              </w:rPr>
            </w:pPr>
            <w:r>
              <w:rPr>
                <w:rFonts w:eastAsia="Calibri"/>
              </w:rPr>
              <w:t>Court File No. 27-CV-12</w:t>
            </w:r>
            <w:r w:rsidRPr="00B06967">
              <w:rPr>
                <w:rFonts w:eastAsia="Calibri"/>
              </w:rPr>
              <w:t>-1234</w:t>
            </w:r>
          </w:p>
          <w:p w14:paraId="27BA6FAB" w14:textId="77777777" w:rsidR="009E6A42" w:rsidRPr="00B06967" w:rsidRDefault="009E6A42" w:rsidP="00483BFE">
            <w:pPr>
              <w:spacing w:line="240" w:lineRule="auto"/>
              <w:jc w:val="right"/>
              <w:rPr>
                <w:rFonts w:eastAsia="Calibri"/>
              </w:rPr>
            </w:pPr>
          </w:p>
          <w:p w14:paraId="365AAB65" w14:textId="77777777" w:rsidR="00C747A3" w:rsidRPr="00206A8D" w:rsidRDefault="009E6A42" w:rsidP="00206A8D">
            <w:pPr>
              <w:spacing w:after="200" w:line="240" w:lineRule="auto"/>
              <w:ind w:left="252"/>
              <w:rPr>
                <w:rFonts w:eastAsia="Times New Roman"/>
              </w:rPr>
            </w:pPr>
            <w:r w:rsidRPr="009E6A42">
              <w:rPr>
                <w:rFonts w:eastAsia="Times New Roman"/>
              </w:rPr>
              <w:t xml:space="preserve">MEMORANDUM IN </w:t>
            </w:r>
            <w:r>
              <w:rPr>
                <w:rFonts w:eastAsia="Times New Roman"/>
              </w:rPr>
              <w:t>OPPOSITION TO DEFENDANT</w:t>
            </w:r>
            <w:r w:rsidRPr="009E6A42">
              <w:rPr>
                <w:rFonts w:eastAsia="Times New Roman"/>
              </w:rPr>
              <w:t>S</w:t>
            </w:r>
            <w:r>
              <w:rPr>
                <w:rFonts w:eastAsia="Times New Roman"/>
              </w:rPr>
              <w:t>’</w:t>
            </w:r>
            <w:r w:rsidRPr="009E6A42">
              <w:rPr>
                <w:rFonts w:eastAsia="Times New Roman"/>
              </w:rPr>
              <w:t xml:space="preserve"> CONSOLIDATED MOTION TO DISMISS UNDER FEDERAL RULE OF CIVIL PROCEDURE 12 (B)(6) </w:t>
            </w:r>
          </w:p>
        </w:tc>
      </w:tr>
    </w:tbl>
    <w:p w14:paraId="4AC1C901" w14:textId="77777777" w:rsidR="00E446DD" w:rsidRDefault="00E446DD" w:rsidP="00C747A3">
      <w:pPr>
        <w:pStyle w:val="NoSpacing"/>
        <w:ind w:firstLine="720"/>
        <w:jc w:val="center"/>
        <w:rPr>
          <w:b/>
          <w:u w:val="single"/>
        </w:rPr>
      </w:pPr>
    </w:p>
    <w:p w14:paraId="07491192" w14:textId="77777777" w:rsidR="00C747A3" w:rsidRDefault="00C747A3" w:rsidP="00C747A3">
      <w:pPr>
        <w:pStyle w:val="NoSpacing"/>
        <w:ind w:firstLine="720"/>
        <w:jc w:val="center"/>
        <w:rPr>
          <w:b/>
          <w:u w:val="single"/>
        </w:rPr>
      </w:pPr>
      <w:r>
        <w:rPr>
          <w:b/>
          <w:u w:val="single"/>
        </w:rPr>
        <w:t>INTRODUCTION</w:t>
      </w:r>
    </w:p>
    <w:p w14:paraId="1933B83A" w14:textId="77777777" w:rsidR="00C747A3" w:rsidRDefault="00C747A3" w:rsidP="00C747A3">
      <w:pPr>
        <w:pStyle w:val="NoSpacing"/>
        <w:ind w:firstLine="720"/>
        <w:jc w:val="center"/>
        <w:rPr>
          <w:b/>
          <w:u w:val="single"/>
        </w:rPr>
      </w:pPr>
    </w:p>
    <w:p w14:paraId="702F46A9" w14:textId="77777777" w:rsidR="00734C99" w:rsidRPr="003B5344" w:rsidRDefault="00C747A3" w:rsidP="00734C99">
      <w:pPr>
        <w:pStyle w:val="NoSpacing"/>
        <w:spacing w:line="480" w:lineRule="auto"/>
        <w:ind w:firstLine="720"/>
      </w:pPr>
      <w:r>
        <w:t xml:space="preserve">Plaintiff OGS TV, Inc. </w:t>
      </w:r>
      <w:r w:rsidR="009E6A42">
        <w:t xml:space="preserve">(OGS) </w:t>
      </w:r>
      <w:r w:rsidR="00E105B6">
        <w:t>a</w:t>
      </w:r>
      <w:r w:rsidR="009E6A42">
        <w:t>sserts</w:t>
      </w:r>
      <w:r w:rsidR="00E105B6">
        <w:t xml:space="preserve"> that </w:t>
      </w:r>
      <w:r>
        <w:t xml:space="preserve">Elizabeth Lime </w:t>
      </w:r>
      <w:r w:rsidR="00E105B6">
        <w:t xml:space="preserve">(Lime) and </w:t>
      </w:r>
      <w:proofErr w:type="spellStart"/>
      <w:r w:rsidR="00E105B6">
        <w:t>TinyTV</w:t>
      </w:r>
      <w:proofErr w:type="spellEnd"/>
      <w:r w:rsidR="00E105B6">
        <w:t xml:space="preserve">, Inc. </w:t>
      </w:r>
      <w:r w:rsidR="0002361B">
        <w:t xml:space="preserve">(collectively </w:t>
      </w:r>
      <w:r w:rsidR="00581754">
        <w:t>“</w:t>
      </w:r>
      <w:r w:rsidR="0002361B">
        <w:t>defendants</w:t>
      </w:r>
      <w:r w:rsidR="00581754">
        <w:t>”</w:t>
      </w:r>
      <w:r w:rsidR="0002361B">
        <w:t>) knowingly violated</w:t>
      </w:r>
      <w:r w:rsidR="00BA214C">
        <w:t xml:space="preserve"> </w:t>
      </w:r>
      <w:r w:rsidR="00E105B6">
        <w:t xml:space="preserve">a “Work-Made-For-Hire Agreement” </w:t>
      </w:r>
      <w:r w:rsidR="00BA214C">
        <w:t xml:space="preserve">executed between </w:t>
      </w:r>
      <w:r w:rsidR="009E6A42">
        <w:t xml:space="preserve">OGS </w:t>
      </w:r>
      <w:r w:rsidR="00BA214C">
        <w:t xml:space="preserve">and Lime for the screenplay </w:t>
      </w:r>
      <w:r w:rsidR="00BA214C" w:rsidRPr="00BA214C">
        <w:rPr>
          <w:i/>
        </w:rPr>
        <w:t>Anticipatory Repudiation</w:t>
      </w:r>
      <w:r w:rsidR="00BA214C">
        <w:rPr>
          <w:i/>
        </w:rPr>
        <w:t>.</w:t>
      </w:r>
      <w:r w:rsidR="006B1F78">
        <w:t xml:space="preserve"> </w:t>
      </w:r>
      <w:r w:rsidR="00BA214C">
        <w:t>Without the knowledge or consent of</w:t>
      </w:r>
      <w:r w:rsidR="0002361B">
        <w:t xml:space="preserve"> OGS</w:t>
      </w:r>
      <w:r w:rsidR="00D30787">
        <w:t>,</w:t>
      </w:r>
      <w:r w:rsidR="00BF3C7D">
        <w:t xml:space="preserve"> d</w:t>
      </w:r>
      <w:r w:rsidR="00BA214C">
        <w:t>efendants copied</w:t>
      </w:r>
      <w:r w:rsidR="00E105B6">
        <w:t xml:space="preserve"> </w:t>
      </w:r>
      <w:r w:rsidR="00BA214C">
        <w:t xml:space="preserve">in substantial part </w:t>
      </w:r>
      <w:r w:rsidR="009E6A42">
        <w:t>OGS’</w:t>
      </w:r>
      <w:r w:rsidR="00483BFE">
        <w:t xml:space="preserve"> copyright. </w:t>
      </w:r>
      <w:r w:rsidR="0002361B">
        <w:t xml:space="preserve">OGS </w:t>
      </w:r>
      <w:r w:rsidR="00545BCD">
        <w:t xml:space="preserve">seeks damages sustained in the amount of $86,000 by reason of defendants’ actions. Defendants move for dismissal under Federal Rule of Civic Procedure (FRCP) 12(b)(6). Because </w:t>
      </w:r>
      <w:r w:rsidR="00A95907">
        <w:t>there is no requirement in the statu</w:t>
      </w:r>
      <w:r w:rsidR="00904EAD">
        <w:t>t</w:t>
      </w:r>
      <w:r w:rsidR="00A95907">
        <w:t xml:space="preserve">e that the agreement must be signed before the work is created, </w:t>
      </w:r>
      <w:r w:rsidR="0002361B">
        <w:t xml:space="preserve">OGS </w:t>
      </w:r>
      <w:r w:rsidR="00BA214C">
        <w:t xml:space="preserve">respectfully requests </w:t>
      </w:r>
      <w:r w:rsidR="00E4683E">
        <w:t xml:space="preserve">that the Court </w:t>
      </w:r>
      <w:r w:rsidR="00CA294F">
        <w:t>deny Defendant</w:t>
      </w:r>
      <w:r w:rsidR="00581754">
        <w:t>s</w:t>
      </w:r>
      <w:r w:rsidR="00CA294F">
        <w:t>’</w:t>
      </w:r>
      <w:r w:rsidR="00AF2A34">
        <w:t xml:space="preserve"> motion for dismissal.</w:t>
      </w:r>
    </w:p>
    <w:p w14:paraId="60B6A712" w14:textId="77777777" w:rsidR="00C747A3" w:rsidRDefault="00D30787" w:rsidP="00C747A3">
      <w:pPr>
        <w:pStyle w:val="ListParagraph"/>
        <w:spacing w:line="240" w:lineRule="auto"/>
        <w:jc w:val="center"/>
        <w:rPr>
          <w:b/>
          <w:u w:val="single"/>
        </w:rPr>
      </w:pPr>
      <w:r>
        <w:rPr>
          <w:b/>
          <w:u w:val="single"/>
        </w:rPr>
        <w:t>FACTUAL BACKGROUND</w:t>
      </w:r>
    </w:p>
    <w:p w14:paraId="5A344A1C" w14:textId="77777777" w:rsidR="00D30787" w:rsidRDefault="00D30787" w:rsidP="00D30787">
      <w:pPr>
        <w:spacing w:line="240" w:lineRule="auto"/>
        <w:rPr>
          <w:b/>
          <w:u w:val="single"/>
        </w:rPr>
      </w:pPr>
    </w:p>
    <w:p w14:paraId="230BF595" w14:textId="77777777" w:rsidR="00C23B34" w:rsidRDefault="00E4683E" w:rsidP="00C23B34">
      <w:pPr>
        <w:ind w:firstLine="720"/>
      </w:pPr>
      <w:r>
        <w:t xml:space="preserve">OGS </w:t>
      </w:r>
      <w:r w:rsidR="00944BDB">
        <w:t>is a television production company that create</w:t>
      </w:r>
      <w:r w:rsidR="0068019A">
        <w:t>s</w:t>
      </w:r>
      <w:r w:rsidR="00944BDB">
        <w:t xml:space="preserve">, produces, and airs </w:t>
      </w:r>
      <w:r w:rsidR="00C747A3">
        <w:t xml:space="preserve">an original television series entitled </w:t>
      </w:r>
      <w:r w:rsidR="00C747A3" w:rsidRPr="00E4683E">
        <w:rPr>
          <w:i/>
        </w:rPr>
        <w:t>Lawless Love</w:t>
      </w:r>
      <w:r w:rsidR="00C747A3">
        <w:t xml:space="preserve">, </w:t>
      </w:r>
      <w:r>
        <w:t xml:space="preserve">for which it prepared screenplays for 39 episodes prior to </w:t>
      </w:r>
      <w:r w:rsidR="00944BDB">
        <w:t>commissioning Lime to write</w:t>
      </w:r>
      <w:r w:rsidR="00B810B1">
        <w:t xml:space="preserve"> a screenplay</w:t>
      </w:r>
      <w:r>
        <w:t>. (</w:t>
      </w:r>
      <w:proofErr w:type="spellStart"/>
      <w:r>
        <w:t>Compl</w:t>
      </w:r>
      <w:proofErr w:type="spellEnd"/>
      <w:r>
        <w:t xml:space="preserve">. </w:t>
      </w:r>
      <w:r>
        <w:rPr>
          <w:rFonts w:cs="Times New Roman"/>
        </w:rPr>
        <w:t>¶</w:t>
      </w:r>
      <w:r>
        <w:t xml:space="preserve"> 5.) </w:t>
      </w:r>
      <w:r w:rsidR="00C747A3">
        <w:t xml:space="preserve">On March 27, 2010, </w:t>
      </w:r>
      <w:r w:rsidR="00A95907" w:rsidRPr="00074FBA">
        <w:t>Lime</w:t>
      </w:r>
      <w:r w:rsidR="00581754" w:rsidRPr="00074FBA">
        <w:t xml:space="preserve"> </w:t>
      </w:r>
      <w:r w:rsidRPr="00074FBA">
        <w:t>met with Dave Nelson</w:t>
      </w:r>
      <w:r w:rsidR="00A95907" w:rsidRPr="00074FBA">
        <w:t xml:space="preserve"> (Nelson</w:t>
      </w:r>
      <w:r w:rsidR="00581754" w:rsidRPr="00074FBA">
        <w:t>)</w:t>
      </w:r>
      <w:r w:rsidRPr="00074FBA">
        <w:t xml:space="preserve">, an employee and agent of </w:t>
      </w:r>
      <w:r w:rsidR="00581754" w:rsidRPr="00074FBA">
        <w:t>OGS</w:t>
      </w:r>
      <w:r w:rsidR="00C30253" w:rsidRPr="00074FBA">
        <w:t>,</w:t>
      </w:r>
      <w:r w:rsidR="00F45DB3" w:rsidRPr="00074FBA">
        <w:t xml:space="preserve"> at which </w:t>
      </w:r>
      <w:r w:rsidR="00074FBA">
        <w:t>point she</w:t>
      </w:r>
      <w:r w:rsidR="00B810B1">
        <w:t xml:space="preserve"> agreed to prepare a screenplay by </w:t>
      </w:r>
      <w:r w:rsidR="008C5FC7">
        <w:t>A</w:t>
      </w:r>
      <w:r w:rsidR="00CA294F">
        <w:t xml:space="preserve">pril 1, 2010 for the </w:t>
      </w:r>
      <w:r w:rsidR="00B810B1">
        <w:t>amount</w:t>
      </w:r>
      <w:r w:rsidR="008C5FC7">
        <w:t xml:space="preserve"> of $6,000. </w:t>
      </w:r>
      <w:r w:rsidR="00F45DB3">
        <w:t>(</w:t>
      </w:r>
      <w:r w:rsidR="00F45DB3" w:rsidRPr="00F45DB3">
        <w:rPr>
          <w:i/>
        </w:rPr>
        <w:t>Id.</w:t>
      </w:r>
      <w:r w:rsidR="00F45DB3">
        <w:t xml:space="preserve"> </w:t>
      </w:r>
      <w:r w:rsidR="00F45DB3">
        <w:rPr>
          <w:rFonts w:cs="Times New Roman"/>
        </w:rPr>
        <w:t>¶¶</w:t>
      </w:r>
      <w:r w:rsidR="00B810B1">
        <w:t xml:space="preserve"> </w:t>
      </w:r>
      <w:r w:rsidR="00074FBA">
        <w:t xml:space="preserve">9, </w:t>
      </w:r>
      <w:r w:rsidR="005A40E7">
        <w:t>13,</w:t>
      </w:r>
      <w:r w:rsidR="003B5344">
        <w:t xml:space="preserve"> </w:t>
      </w:r>
      <w:r w:rsidR="005A40E7">
        <w:t>15</w:t>
      </w:r>
      <w:r w:rsidR="008C5FC7">
        <w:t>.</w:t>
      </w:r>
      <w:r w:rsidR="00F45DB3">
        <w:t>)</w:t>
      </w:r>
      <w:r w:rsidR="00B810B1">
        <w:t xml:space="preserve"> </w:t>
      </w:r>
      <w:r w:rsidR="00C30253" w:rsidRPr="00074FBA">
        <w:t xml:space="preserve">Nelson and Lime expressly agreed in an oral work-made-for-hire agreement that the screenplay she </w:t>
      </w:r>
      <w:r w:rsidR="00BF3C7D">
        <w:t>wrote</w:t>
      </w:r>
      <w:r w:rsidR="00C30253" w:rsidRPr="00074FBA">
        <w:t xml:space="preserve"> </w:t>
      </w:r>
      <w:r w:rsidR="00BF3C7D">
        <w:t>would</w:t>
      </w:r>
      <w:r w:rsidR="00C30253" w:rsidRPr="00074FBA">
        <w:t xml:space="preserve"> </w:t>
      </w:r>
      <w:r w:rsidR="00BF3C7D">
        <w:t>be a work-made-for-</w:t>
      </w:r>
      <w:r w:rsidR="00C30253" w:rsidRPr="00074FBA">
        <w:t>hire under 17 U.S.C. § 101.</w:t>
      </w:r>
      <w:r w:rsidR="00C30253">
        <w:t xml:space="preserve"> (</w:t>
      </w:r>
      <w:r w:rsidR="00C30253" w:rsidRPr="00F45DB3">
        <w:rPr>
          <w:i/>
        </w:rPr>
        <w:t>Id.</w:t>
      </w:r>
      <w:r w:rsidR="00C30253">
        <w:t xml:space="preserve"> </w:t>
      </w:r>
      <w:r w:rsidR="00C30253">
        <w:rPr>
          <w:rFonts w:cs="Times New Roman"/>
        </w:rPr>
        <w:t xml:space="preserve">¶ </w:t>
      </w:r>
      <w:r w:rsidR="00C30253">
        <w:t>18.)</w:t>
      </w:r>
      <w:r w:rsidR="00BF3C7D">
        <w:t xml:space="preserve"> T</w:t>
      </w:r>
      <w:r w:rsidR="000823F1">
        <w:t>o ensure Lime was completely clear on h</w:t>
      </w:r>
      <w:r w:rsidR="005A40E7">
        <w:t>er contractual obligations to</w:t>
      </w:r>
      <w:r w:rsidR="000823F1">
        <w:t xml:space="preserve"> OGS, Nelson insisted, “You</w:t>
      </w:r>
      <w:r w:rsidR="005A40E7">
        <w:t>r</w:t>
      </w:r>
      <w:r w:rsidR="000823F1">
        <w:t xml:space="preserve"> work on the screenplay is for hire. </w:t>
      </w:r>
      <w:r w:rsidR="000823F1">
        <w:lastRenderedPageBreak/>
        <w:t>For all intents and purposes, we’ll be the author. Do you understand and is that OK with you?”</w:t>
      </w:r>
      <w:r w:rsidR="000823F1" w:rsidRPr="000823F1">
        <w:t xml:space="preserve"> </w:t>
      </w:r>
      <w:r w:rsidR="000823F1">
        <w:t>(</w:t>
      </w:r>
      <w:r w:rsidR="000823F1" w:rsidRPr="00F45DB3">
        <w:rPr>
          <w:i/>
        </w:rPr>
        <w:t>Id.</w:t>
      </w:r>
      <w:r w:rsidR="000823F1">
        <w:t xml:space="preserve"> </w:t>
      </w:r>
      <w:r w:rsidR="000823F1">
        <w:rPr>
          <w:rFonts w:cs="Times New Roman"/>
        </w:rPr>
        <w:t xml:space="preserve">¶ </w:t>
      </w:r>
      <w:r w:rsidR="000823F1">
        <w:t xml:space="preserve">16.) In </w:t>
      </w:r>
      <w:r w:rsidR="000823F1" w:rsidRPr="00D20F9E">
        <w:t>response</w:t>
      </w:r>
      <w:r w:rsidR="005A40E7">
        <w:t xml:space="preserve">, Lime </w:t>
      </w:r>
      <w:r w:rsidR="0068019A">
        <w:t>said</w:t>
      </w:r>
      <w:r w:rsidR="005A40E7">
        <w:t xml:space="preserve"> “Yes</w:t>
      </w:r>
      <w:r w:rsidR="003B5344">
        <w:t>,</w:t>
      </w:r>
      <w:r w:rsidR="005A40E7">
        <w:t>”</w:t>
      </w:r>
      <w:r w:rsidR="000823F1">
        <w:t xml:space="preserve"> affi</w:t>
      </w:r>
      <w:r w:rsidR="005A40E7">
        <w:t xml:space="preserve">rming that she understood the </w:t>
      </w:r>
      <w:r w:rsidR="000823F1">
        <w:t>agreement. (</w:t>
      </w:r>
      <w:r w:rsidR="000823F1" w:rsidRPr="00F45DB3">
        <w:rPr>
          <w:i/>
        </w:rPr>
        <w:t>Id.</w:t>
      </w:r>
      <w:r w:rsidR="000823F1">
        <w:t xml:space="preserve"> </w:t>
      </w:r>
      <w:r w:rsidR="000823F1">
        <w:rPr>
          <w:rFonts w:cs="Times New Roman"/>
        </w:rPr>
        <w:t xml:space="preserve">¶ </w:t>
      </w:r>
      <w:r w:rsidR="000823F1">
        <w:t xml:space="preserve">17.) </w:t>
      </w:r>
      <w:r w:rsidR="00C30253">
        <w:t>In order to allow Lime to begin work immediately</w:t>
      </w:r>
      <w:r w:rsidR="003B5344">
        <w:t>,</w:t>
      </w:r>
      <w:r w:rsidR="005C3B28">
        <w:t xml:space="preserve"> </w:t>
      </w:r>
      <w:r w:rsidR="000823F1">
        <w:t>OGS and Lime</w:t>
      </w:r>
      <w:r w:rsidR="005C3B28">
        <w:t xml:space="preserve"> agreed that Lime would return </w:t>
      </w:r>
      <w:r w:rsidR="00E972A9">
        <w:t xml:space="preserve">at a later time </w:t>
      </w:r>
      <w:r w:rsidR="005C3B28">
        <w:t>to sign the paperwork</w:t>
      </w:r>
      <w:r w:rsidR="00E972A9">
        <w:t xml:space="preserve"> outlining their oral agreement. </w:t>
      </w:r>
      <w:r w:rsidR="005C3B28">
        <w:t>(</w:t>
      </w:r>
      <w:r w:rsidR="005C3B28" w:rsidRPr="00F45DB3">
        <w:rPr>
          <w:i/>
        </w:rPr>
        <w:t>Id.</w:t>
      </w:r>
      <w:r w:rsidR="005C3B28">
        <w:t xml:space="preserve"> </w:t>
      </w:r>
      <w:r w:rsidR="00E972A9">
        <w:rPr>
          <w:rFonts w:cs="Times New Roman"/>
        </w:rPr>
        <w:t>¶</w:t>
      </w:r>
      <w:r w:rsidR="005C3B28">
        <w:t xml:space="preserve"> 20.) </w:t>
      </w:r>
      <w:r w:rsidR="00C30253">
        <w:t xml:space="preserve"> </w:t>
      </w:r>
    </w:p>
    <w:p w14:paraId="1CD90DB4" w14:textId="77777777" w:rsidR="00734C99" w:rsidRDefault="00C747A3" w:rsidP="00734C99">
      <w:pPr>
        <w:ind w:firstLine="720"/>
      </w:pPr>
      <w:r>
        <w:t xml:space="preserve">On April 1, 2010, Lime submitted a screenplay entitled “Anticipatory Repudiation.” </w:t>
      </w:r>
      <w:r w:rsidR="00187058">
        <w:t>(</w:t>
      </w:r>
      <w:r w:rsidR="00187058" w:rsidRPr="00F45DB3">
        <w:rPr>
          <w:i/>
        </w:rPr>
        <w:t>Id.</w:t>
      </w:r>
      <w:r w:rsidR="00187058">
        <w:t xml:space="preserve"> </w:t>
      </w:r>
      <w:r w:rsidR="00C23B34">
        <w:rPr>
          <w:rFonts w:cs="Times New Roman"/>
        </w:rPr>
        <w:t>¶</w:t>
      </w:r>
      <w:r w:rsidR="00C23B34">
        <w:t xml:space="preserve"> 21</w:t>
      </w:r>
      <w:r w:rsidR="00187058">
        <w:t>.)</w:t>
      </w:r>
      <w:r>
        <w:t xml:space="preserve"> </w:t>
      </w:r>
      <w:r w:rsidR="005A40E7">
        <w:t>The following day</w:t>
      </w:r>
      <w:r>
        <w:t xml:space="preserve">, </w:t>
      </w:r>
      <w:r w:rsidR="00E972A9">
        <w:t>OGS</w:t>
      </w:r>
      <w:r>
        <w:t xml:space="preserve"> </w:t>
      </w:r>
      <w:r w:rsidR="00C23B34">
        <w:t>legally</w:t>
      </w:r>
      <w:r>
        <w:t xml:space="preserve"> secured the exclusive rights and privileges in and to the screen</w:t>
      </w:r>
      <w:r w:rsidR="00BF3C7D">
        <w:t xml:space="preserve">play. </w:t>
      </w:r>
      <w:r w:rsidR="00E972A9">
        <w:t>(</w:t>
      </w:r>
      <w:r w:rsidR="00E972A9" w:rsidRPr="00F45DB3">
        <w:rPr>
          <w:i/>
        </w:rPr>
        <w:t>Id.</w:t>
      </w:r>
      <w:r w:rsidR="00E972A9">
        <w:t xml:space="preserve"> </w:t>
      </w:r>
      <w:r w:rsidR="00E972A9">
        <w:rPr>
          <w:rFonts w:cs="Times New Roman"/>
        </w:rPr>
        <w:t>¶</w:t>
      </w:r>
      <w:r w:rsidR="00E972A9">
        <w:t xml:space="preserve"> 22.) </w:t>
      </w:r>
      <w:r w:rsidR="00C23B34">
        <w:t>T</w:t>
      </w:r>
      <w:r>
        <w:t xml:space="preserve">he Register of Copyrights </w:t>
      </w:r>
      <w:r w:rsidR="00C23B34">
        <w:t xml:space="preserve">issued </w:t>
      </w:r>
      <w:r w:rsidR="00E972A9">
        <w:t>OGS</w:t>
      </w:r>
      <w:r w:rsidR="00C23B34">
        <w:t xml:space="preserve"> </w:t>
      </w:r>
      <w:r>
        <w:t xml:space="preserve">a certificate of registration </w:t>
      </w:r>
      <w:r w:rsidR="005A40E7">
        <w:t>the very same day</w:t>
      </w:r>
      <w:r>
        <w:t xml:space="preserve">. </w:t>
      </w:r>
      <w:r w:rsidR="00C23B34">
        <w:t>(</w:t>
      </w:r>
      <w:r w:rsidR="00C23B34" w:rsidRPr="00F45DB3">
        <w:rPr>
          <w:i/>
        </w:rPr>
        <w:t>Id.</w:t>
      </w:r>
      <w:r w:rsidR="00C23B34">
        <w:t xml:space="preserve"> </w:t>
      </w:r>
      <w:r w:rsidR="00C23B34">
        <w:rPr>
          <w:rFonts w:cs="Times New Roman"/>
        </w:rPr>
        <w:t>¶</w:t>
      </w:r>
      <w:r w:rsidR="00C23B34">
        <w:t xml:space="preserve"> 22.) </w:t>
      </w:r>
      <w:r>
        <w:t xml:space="preserve">On April 6, 2010, </w:t>
      </w:r>
      <w:r w:rsidR="00B061A1">
        <w:t xml:space="preserve">both </w:t>
      </w:r>
      <w:r>
        <w:t xml:space="preserve">Lime </w:t>
      </w:r>
      <w:r w:rsidR="00B061A1">
        <w:t xml:space="preserve">and Nelson </w:t>
      </w:r>
      <w:r w:rsidR="00C23B34">
        <w:t>signed a document labeled “Work-Made-For-Hire Agreement”</w:t>
      </w:r>
      <w:r w:rsidR="00B061A1">
        <w:t xml:space="preserve"> upon which</w:t>
      </w:r>
      <w:r w:rsidR="00C23B34">
        <w:t xml:space="preserve"> </w:t>
      </w:r>
      <w:r>
        <w:t xml:space="preserve">a check </w:t>
      </w:r>
      <w:r w:rsidR="00C23B34">
        <w:t>in the amount of</w:t>
      </w:r>
      <w:r>
        <w:t xml:space="preserve"> $6,000 </w:t>
      </w:r>
      <w:r w:rsidR="00B061A1">
        <w:t>was issued to Lime</w:t>
      </w:r>
      <w:r w:rsidR="00C23B34">
        <w:t>. (</w:t>
      </w:r>
      <w:r w:rsidR="00C23B34" w:rsidRPr="00F45DB3">
        <w:rPr>
          <w:i/>
        </w:rPr>
        <w:t>Id.</w:t>
      </w:r>
      <w:r w:rsidR="00C23B34">
        <w:t xml:space="preserve"> </w:t>
      </w:r>
      <w:r w:rsidR="00C23B34">
        <w:rPr>
          <w:rFonts w:cs="Times New Roman"/>
        </w:rPr>
        <w:t>¶ 24.)</w:t>
      </w:r>
      <w:r w:rsidR="00C23B34">
        <w:t xml:space="preserve"> </w:t>
      </w:r>
      <w:r w:rsidR="00CA294F">
        <w:t>When</w:t>
      </w:r>
      <w:r w:rsidR="005445D0">
        <w:t xml:space="preserve"> the spring television season ended, Lime inquired as to why her screenplay was not used</w:t>
      </w:r>
      <w:r w:rsidR="0068019A">
        <w:t>,</w:t>
      </w:r>
      <w:r w:rsidR="005445D0">
        <w:t xml:space="preserve"> to which Nelson responded that the screenplay was too expensive to film and not suitable for </w:t>
      </w:r>
      <w:r w:rsidR="005445D0" w:rsidRPr="005445D0">
        <w:rPr>
          <w:i/>
        </w:rPr>
        <w:t>Lawless Love</w:t>
      </w:r>
      <w:r w:rsidR="005445D0">
        <w:t>. (</w:t>
      </w:r>
      <w:r w:rsidR="005445D0" w:rsidRPr="00F45DB3">
        <w:rPr>
          <w:i/>
        </w:rPr>
        <w:t>Id.</w:t>
      </w:r>
      <w:r w:rsidR="005445D0">
        <w:t xml:space="preserve"> </w:t>
      </w:r>
      <w:r w:rsidR="005445D0">
        <w:rPr>
          <w:rFonts w:cs="Times New Roman"/>
        </w:rPr>
        <w:t>¶</w:t>
      </w:r>
      <w:r w:rsidR="005445D0">
        <w:t xml:space="preserve"> 26.)</w:t>
      </w:r>
    </w:p>
    <w:p w14:paraId="4DEF6B30" w14:textId="77777777" w:rsidR="005A3470" w:rsidRDefault="00734C99" w:rsidP="005A3470">
      <w:pPr>
        <w:ind w:firstLine="720"/>
      </w:pPr>
      <w:r>
        <w:t>In August</w:t>
      </w:r>
      <w:r w:rsidR="00E972A9">
        <w:t xml:space="preserve"> 2010, </w:t>
      </w:r>
      <w:r w:rsidR="00904EAD">
        <w:t>D</w:t>
      </w:r>
      <w:r w:rsidR="00E972A9">
        <w:t xml:space="preserve">efendants </w:t>
      </w:r>
      <w:r w:rsidR="00C747A3">
        <w:t xml:space="preserve">created a new television series entitled </w:t>
      </w:r>
      <w:r w:rsidR="00C747A3" w:rsidRPr="00734C99">
        <w:rPr>
          <w:i/>
        </w:rPr>
        <w:t>The Tin Can</w:t>
      </w:r>
      <w:r>
        <w:t xml:space="preserve"> and </w:t>
      </w:r>
      <w:r w:rsidR="00C747A3">
        <w:t>produced a screenplay for the pilot episode entitled “</w:t>
      </w:r>
      <w:r w:rsidR="00C747A3" w:rsidRPr="00612F4D">
        <w:t>The Love Below</w:t>
      </w:r>
      <w:r w:rsidR="00B061A1">
        <w:t>.</w:t>
      </w:r>
      <w:r w:rsidR="00C747A3">
        <w:t>”</w:t>
      </w:r>
      <w:r w:rsidR="00B061A1">
        <w:t xml:space="preserve"> </w:t>
      </w:r>
      <w:r w:rsidR="00E972A9">
        <w:t>(</w:t>
      </w:r>
      <w:r w:rsidR="00E972A9" w:rsidRPr="00F45DB3">
        <w:rPr>
          <w:i/>
        </w:rPr>
        <w:t>Id.</w:t>
      </w:r>
      <w:r w:rsidR="00E972A9">
        <w:t xml:space="preserve"> </w:t>
      </w:r>
      <w:r w:rsidR="00E972A9">
        <w:rPr>
          <w:rFonts w:cs="Times New Roman"/>
        </w:rPr>
        <w:t>¶¶</w:t>
      </w:r>
      <w:r w:rsidR="00E972A9">
        <w:t xml:space="preserve"> 27,</w:t>
      </w:r>
      <w:r w:rsidR="00AF2A34">
        <w:t xml:space="preserve"> </w:t>
      </w:r>
      <w:r w:rsidR="00E972A9">
        <w:t>28.) Without</w:t>
      </w:r>
      <w:r w:rsidR="003B5344">
        <w:t xml:space="preserve"> the</w:t>
      </w:r>
      <w:r w:rsidR="00E972A9">
        <w:t xml:space="preserve"> knowledge or consent of OGS, Defendants</w:t>
      </w:r>
      <w:r w:rsidR="00C747A3">
        <w:t xml:space="preserve"> copied </w:t>
      </w:r>
      <w:r w:rsidR="00E972A9">
        <w:t xml:space="preserve">this screenplay </w:t>
      </w:r>
      <w:r w:rsidR="00C747A3">
        <w:t xml:space="preserve">in substantial part from </w:t>
      </w:r>
      <w:r w:rsidR="00E972A9">
        <w:t>“Anticipatory Repudiation</w:t>
      </w:r>
      <w:r w:rsidR="00B061A1">
        <w:t>.</w:t>
      </w:r>
      <w:r w:rsidR="00E972A9">
        <w:t>”</w:t>
      </w:r>
      <w:r w:rsidR="00C747A3">
        <w:t xml:space="preserve"> </w:t>
      </w:r>
      <w:r>
        <w:t>(</w:t>
      </w:r>
      <w:r w:rsidRPr="00F45DB3">
        <w:rPr>
          <w:i/>
        </w:rPr>
        <w:t>Id.</w:t>
      </w:r>
      <w:r>
        <w:t xml:space="preserve"> </w:t>
      </w:r>
      <w:r w:rsidR="00E972A9">
        <w:rPr>
          <w:rFonts w:cs="Times New Roman"/>
        </w:rPr>
        <w:t xml:space="preserve">¶ </w:t>
      </w:r>
      <w:r>
        <w:t>28.)</w:t>
      </w:r>
      <w:r w:rsidR="00E972A9">
        <w:t xml:space="preserve"> </w:t>
      </w:r>
      <w:r w:rsidR="005A3470">
        <w:t xml:space="preserve">“The Love Below” contains dialogue, characters, and storylines that mirror </w:t>
      </w:r>
      <w:r w:rsidR="00CA294F">
        <w:t>the work OGS commissioned Lime to produce</w:t>
      </w:r>
      <w:r w:rsidR="00E972A9">
        <w:t xml:space="preserve"> </w:t>
      </w:r>
      <w:r w:rsidR="005A3470">
        <w:t>(</w:t>
      </w:r>
      <w:r w:rsidR="005A3470" w:rsidRPr="00F45DB3">
        <w:rPr>
          <w:i/>
        </w:rPr>
        <w:t>Id.</w:t>
      </w:r>
      <w:r w:rsidR="005A3470">
        <w:t xml:space="preserve"> </w:t>
      </w:r>
      <w:r w:rsidR="005A3470">
        <w:rPr>
          <w:rFonts w:cs="Times New Roman"/>
        </w:rPr>
        <w:t>¶¶</w:t>
      </w:r>
      <w:r w:rsidR="005A3470">
        <w:t xml:space="preserve"> 24, 31.) </w:t>
      </w:r>
    </w:p>
    <w:p w14:paraId="74EFDE23" w14:textId="77777777" w:rsidR="008B5627" w:rsidRDefault="00BF3C7D" w:rsidP="00E55B6D">
      <w:pPr>
        <w:ind w:firstLine="720"/>
      </w:pPr>
      <w:r>
        <w:t>O</w:t>
      </w:r>
      <w:r w:rsidR="00C747A3">
        <w:t>n</w:t>
      </w:r>
      <w:r w:rsidR="00967D59">
        <w:t xml:space="preserve"> September 7, 2010, Defendants,</w:t>
      </w:r>
      <w:r w:rsidR="00C747A3">
        <w:t xml:space="preserve"> produced and performed the screenplay “The Love Below” on television</w:t>
      </w:r>
      <w:r w:rsidR="00AF2A34">
        <w:t xml:space="preserve"> for the sole purpose of profit to the defendants</w:t>
      </w:r>
      <w:r w:rsidR="00967D59">
        <w:t>.</w:t>
      </w:r>
      <w:r w:rsidR="00967D59" w:rsidRPr="00967D59">
        <w:t xml:space="preserve"> </w:t>
      </w:r>
      <w:r w:rsidR="00967D59">
        <w:t>(</w:t>
      </w:r>
      <w:r w:rsidR="00967D59" w:rsidRPr="00F45DB3">
        <w:rPr>
          <w:i/>
        </w:rPr>
        <w:t>Id.</w:t>
      </w:r>
      <w:r w:rsidR="00967D59">
        <w:t xml:space="preserve"> </w:t>
      </w:r>
      <w:r w:rsidR="00967D59">
        <w:rPr>
          <w:rFonts w:cs="Times New Roman"/>
        </w:rPr>
        <w:t>¶</w:t>
      </w:r>
      <w:r w:rsidR="00967D59">
        <w:t xml:space="preserve"> 29.) </w:t>
      </w:r>
      <w:r w:rsidR="00E55B6D">
        <w:t>OGS asserts that</w:t>
      </w:r>
      <w:r w:rsidR="005A3470">
        <w:t xml:space="preserve"> </w:t>
      </w:r>
      <w:r w:rsidR="00E55B6D">
        <w:t>defendants are liable for</w:t>
      </w:r>
      <w:r w:rsidR="005A3470">
        <w:t xml:space="preserve"> damages </w:t>
      </w:r>
      <w:r w:rsidR="00C747A3">
        <w:t>in the sum of $86,000, representing lost advertising revenue</w:t>
      </w:r>
      <w:r w:rsidR="00904EAD">
        <w:t xml:space="preserve"> and the lost value of</w:t>
      </w:r>
      <w:r w:rsidR="00C747A3">
        <w:t xml:space="preserve"> Lime’s fee for the screenplay.</w:t>
      </w:r>
      <w:r w:rsidR="005A3470">
        <w:t xml:space="preserve"> (</w:t>
      </w:r>
      <w:r w:rsidR="005A3470" w:rsidRPr="00F45DB3">
        <w:rPr>
          <w:i/>
        </w:rPr>
        <w:t>Id.</w:t>
      </w:r>
      <w:r w:rsidR="005A3470">
        <w:t xml:space="preserve"> </w:t>
      </w:r>
      <w:r w:rsidR="005A3470">
        <w:rPr>
          <w:rFonts w:cs="Times New Roman"/>
        </w:rPr>
        <w:t xml:space="preserve">¶ </w:t>
      </w:r>
      <w:r w:rsidR="005A3470">
        <w:t>30.)</w:t>
      </w:r>
      <w:r w:rsidR="00AA6DE9">
        <w:t xml:space="preserve">  </w:t>
      </w:r>
      <w:r w:rsidR="003B5344">
        <w:t>Because</w:t>
      </w:r>
      <w:r w:rsidR="00A17DCF">
        <w:t xml:space="preserve"> there is no requirement for a signed writing </w:t>
      </w:r>
      <w:r w:rsidR="0059142B">
        <w:t xml:space="preserve">to be executed </w:t>
      </w:r>
      <w:r w:rsidR="00A17DCF">
        <w:t xml:space="preserve">between the parties before </w:t>
      </w:r>
      <w:r w:rsidR="0059142B">
        <w:t>the creation of a work</w:t>
      </w:r>
      <w:r>
        <w:t xml:space="preserve">, </w:t>
      </w:r>
      <w:r w:rsidR="00CD405E">
        <w:t xml:space="preserve">OGS </w:t>
      </w:r>
      <w:r w:rsidR="00CD405E">
        <w:lastRenderedPageBreak/>
        <w:t xml:space="preserve">opposes Defendants’ motion to dismiss and </w:t>
      </w:r>
      <w:r w:rsidR="003B5344">
        <w:t>respectfully</w:t>
      </w:r>
      <w:r w:rsidR="00E55B6D">
        <w:t xml:space="preserve"> </w:t>
      </w:r>
      <w:r w:rsidR="00CD405E">
        <w:t xml:space="preserve">requests </w:t>
      </w:r>
      <w:r w:rsidR="00904EAD">
        <w:t>the C</w:t>
      </w:r>
      <w:r w:rsidR="00A17DCF">
        <w:t xml:space="preserve">ourt to </w:t>
      </w:r>
      <w:r w:rsidR="00904EAD">
        <w:t>deny D</w:t>
      </w:r>
      <w:r w:rsidR="00E55B6D">
        <w:t xml:space="preserve">efendants’ motion for dismissal. </w:t>
      </w:r>
    </w:p>
    <w:p w14:paraId="3129CC6B" w14:textId="77777777" w:rsidR="00386477" w:rsidRPr="00E55B6D" w:rsidRDefault="00AA6DE9" w:rsidP="00E55B6D">
      <w:pPr>
        <w:jc w:val="center"/>
        <w:rPr>
          <w:b/>
          <w:u w:val="single"/>
        </w:rPr>
      </w:pPr>
      <w:r>
        <w:rPr>
          <w:b/>
          <w:u w:val="single"/>
        </w:rPr>
        <w:t>ARGUMENT</w:t>
      </w:r>
    </w:p>
    <w:p w14:paraId="2B93E756" w14:textId="77777777" w:rsidR="0066307D" w:rsidRDefault="008B5627" w:rsidP="008B5627">
      <w:pPr>
        <w:spacing w:line="240" w:lineRule="auto"/>
        <w:rPr>
          <w:b/>
        </w:rPr>
      </w:pPr>
      <w:r w:rsidRPr="00E5195B">
        <w:rPr>
          <w:b/>
        </w:rPr>
        <w:t xml:space="preserve">THE COURT SHOULD DENY </w:t>
      </w:r>
      <w:r w:rsidR="0066307D">
        <w:rPr>
          <w:b/>
        </w:rPr>
        <w:t>DEFENDANTS’</w:t>
      </w:r>
      <w:r w:rsidRPr="00E5195B">
        <w:rPr>
          <w:b/>
        </w:rPr>
        <w:t xml:space="preserve"> MOTION TO DISMISS BECAUSE </w:t>
      </w:r>
      <w:r w:rsidR="0066307D">
        <w:rPr>
          <w:b/>
        </w:rPr>
        <w:t xml:space="preserve">THE STATUTE DOES NOT REQUIRE AN AGREEMENT TO BE SIGNED BETWEEN THE PARTIES PRIOR TO THE CREATION OF A WORK-MADE-FOR-HIRE. </w:t>
      </w:r>
    </w:p>
    <w:p w14:paraId="641E8623" w14:textId="77777777" w:rsidR="008B5627" w:rsidRDefault="008B5627" w:rsidP="008B5627">
      <w:pPr>
        <w:spacing w:line="240" w:lineRule="auto"/>
        <w:rPr>
          <w:b/>
        </w:rPr>
      </w:pPr>
    </w:p>
    <w:p w14:paraId="020CD9E4" w14:textId="77777777" w:rsidR="00F32A12" w:rsidRPr="0083600B" w:rsidRDefault="00F32A12" w:rsidP="005C3123">
      <w:pPr>
        <w:rPr>
          <w:rFonts w:eastAsia="Times New Roman" w:cs="Times New Roman"/>
          <w:szCs w:val="24"/>
        </w:rPr>
      </w:pPr>
      <w:r>
        <w:tab/>
      </w:r>
      <w:r w:rsidR="00C701A0">
        <w:t>Work</w:t>
      </w:r>
      <w:r w:rsidR="008D18DE">
        <w:t xml:space="preserve">-made-for-hire </w:t>
      </w:r>
      <w:r w:rsidR="00C701A0">
        <w:t xml:space="preserve">agreements </w:t>
      </w:r>
      <w:r w:rsidR="008D18DE">
        <w:t>under</w:t>
      </w:r>
      <w:r>
        <w:t xml:space="preserve"> </w:t>
      </w:r>
      <w:r w:rsidR="00F4196D">
        <w:t>t</w:t>
      </w:r>
      <w:r w:rsidR="00430830">
        <w:t>he Federal Copyright Act of 1976</w:t>
      </w:r>
      <w:r w:rsidR="00F4196D">
        <w:t xml:space="preserve">, </w:t>
      </w:r>
      <w:r>
        <w:rPr>
          <w:rFonts w:cstheme="minorHAnsi"/>
        </w:rPr>
        <w:t>17 U.S.C.</w:t>
      </w:r>
      <w:r w:rsidR="0083600B">
        <w:rPr>
          <w:rFonts w:cstheme="minorHAnsi"/>
        </w:rPr>
        <w:t>A.</w:t>
      </w:r>
      <w:r>
        <w:rPr>
          <w:rFonts w:cstheme="minorHAnsi"/>
        </w:rPr>
        <w:t xml:space="preserve"> </w:t>
      </w:r>
      <w:r w:rsidRPr="008B5627">
        <w:rPr>
          <w:rFonts w:cstheme="minorHAnsi"/>
        </w:rPr>
        <w:t>§</w:t>
      </w:r>
      <w:r>
        <w:t xml:space="preserve"> 101</w:t>
      </w:r>
      <w:r w:rsidR="0083600B">
        <w:rPr>
          <w:rFonts w:eastAsia="Times New Roman" w:cs="Times New Roman"/>
          <w:szCs w:val="24"/>
        </w:rPr>
        <w:t xml:space="preserve"> (West 2011) </w:t>
      </w:r>
      <w:r w:rsidR="00C701A0">
        <w:t>provide that</w:t>
      </w:r>
      <w:r w:rsidR="00EF7FF7">
        <w:t xml:space="preserve"> contracting parties </w:t>
      </w:r>
      <w:r w:rsidR="00C701A0">
        <w:t>expressly agree in a written instrument that</w:t>
      </w:r>
      <w:r>
        <w:t xml:space="preserve"> </w:t>
      </w:r>
      <w:r w:rsidR="00C701A0">
        <w:t>the</w:t>
      </w:r>
      <w:r>
        <w:t xml:space="preserve"> commissioned work </w:t>
      </w:r>
      <w:r w:rsidR="00C701A0">
        <w:t xml:space="preserve">shall be considered a made-for-hire. </w:t>
      </w:r>
      <w:r>
        <w:t xml:space="preserve">The relevant portion of the statute </w:t>
      </w:r>
      <w:r w:rsidR="0068019A">
        <w:t>define</w:t>
      </w:r>
      <w:r w:rsidR="009075D6">
        <w:t>s</w:t>
      </w:r>
      <w:r w:rsidR="0068019A">
        <w:t xml:space="preserve"> a work made for hire as </w:t>
      </w:r>
      <w:r w:rsidR="003C46D6">
        <w:t xml:space="preserve">“a work specially ordered or commissioned </w:t>
      </w:r>
      <w:r w:rsidR="00BF7FF4">
        <w:t>. . .</w:t>
      </w:r>
      <w:r w:rsidR="003C46D6">
        <w:t xml:space="preserve"> if the parties expressly agree in a written instrument signed by them that the work shall be considered a work</w:t>
      </w:r>
      <w:r w:rsidR="007C22E4">
        <w:t xml:space="preserve"> made for hire.”</w:t>
      </w:r>
      <w:r w:rsidR="00E739FE">
        <w:t xml:space="preserve"> </w:t>
      </w:r>
      <w:r w:rsidR="00E739FE" w:rsidRPr="00E20E8E">
        <w:rPr>
          <w:rFonts w:cs="Times New Roman"/>
          <w:szCs w:val="24"/>
        </w:rPr>
        <w:t xml:space="preserve">17 U.S.C. § 101 </w:t>
      </w:r>
      <w:proofErr w:type="gramStart"/>
      <w:r w:rsidR="00E739FE" w:rsidRPr="00E20E8E">
        <w:rPr>
          <w:rFonts w:cs="Times New Roman"/>
          <w:szCs w:val="24"/>
        </w:rPr>
        <w:t>et</w:t>
      </w:r>
      <w:proofErr w:type="gramEnd"/>
      <w:r w:rsidR="00E739FE" w:rsidRPr="00E20E8E">
        <w:rPr>
          <w:rFonts w:cs="Times New Roman"/>
          <w:szCs w:val="24"/>
        </w:rPr>
        <w:t xml:space="preserve"> seq</w:t>
      </w:r>
      <w:r w:rsidR="00E739FE">
        <w:rPr>
          <w:rFonts w:cs="Times New Roman"/>
          <w:szCs w:val="24"/>
        </w:rPr>
        <w:t>.</w:t>
      </w:r>
      <w:r w:rsidR="00E739FE">
        <w:t xml:space="preserve"> </w:t>
      </w:r>
      <w:r w:rsidR="008870F6">
        <w:t>A</w:t>
      </w:r>
      <w:r w:rsidR="00F44E61">
        <w:t>n examination of the statute’s plain meaning and legislative history</w:t>
      </w:r>
      <w:r w:rsidR="008870F6">
        <w:t>,</w:t>
      </w:r>
      <w:r w:rsidR="00F44E61">
        <w:t xml:space="preserve"> as well as a review o</w:t>
      </w:r>
      <w:r w:rsidR="008870F6">
        <w:t>f</w:t>
      </w:r>
      <w:r w:rsidR="00F44E61">
        <w:t xml:space="preserve"> case law from other jurisdictions and public policy </w:t>
      </w:r>
      <w:r w:rsidR="00D20F9E">
        <w:t xml:space="preserve">considerations </w:t>
      </w:r>
      <w:r w:rsidR="008870F6">
        <w:t>demonstrate that</w:t>
      </w:r>
      <w:r w:rsidR="00BF3C7D">
        <w:t xml:space="preserve"> ownership rights to a work</w:t>
      </w:r>
      <w:r w:rsidR="008870F6">
        <w:t>-for-hire may be clearly allocated through a post-creation agreement</w:t>
      </w:r>
      <w:r w:rsidR="00456ED7">
        <w:t>.</w:t>
      </w:r>
    </w:p>
    <w:p w14:paraId="420FA5E4" w14:textId="77777777" w:rsidR="00B50CAB" w:rsidRPr="00B50CAB" w:rsidRDefault="008A75AD" w:rsidP="00B50CAB">
      <w:pPr>
        <w:pStyle w:val="ListParagraph"/>
        <w:numPr>
          <w:ilvl w:val="0"/>
          <w:numId w:val="2"/>
        </w:numPr>
        <w:spacing w:after="200" w:line="276" w:lineRule="auto"/>
        <w:ind w:left="360"/>
        <w:rPr>
          <w:b/>
        </w:rPr>
      </w:pPr>
      <w:r>
        <w:rPr>
          <w:b/>
        </w:rPr>
        <w:t>T</w:t>
      </w:r>
      <w:r w:rsidR="0066307D">
        <w:rPr>
          <w:b/>
        </w:rPr>
        <w:t xml:space="preserve">here is no Requirement </w:t>
      </w:r>
      <w:r>
        <w:rPr>
          <w:b/>
        </w:rPr>
        <w:t xml:space="preserve">in the Plain Language of Section 101 </w:t>
      </w:r>
      <w:r w:rsidR="0066307D">
        <w:rPr>
          <w:b/>
        </w:rPr>
        <w:t xml:space="preserve">that </w:t>
      </w:r>
      <w:r w:rsidR="003C46D6">
        <w:rPr>
          <w:b/>
        </w:rPr>
        <w:t>the Parties</w:t>
      </w:r>
      <w:r w:rsidR="000E12B4">
        <w:rPr>
          <w:b/>
        </w:rPr>
        <w:t xml:space="preserve"> Must</w:t>
      </w:r>
      <w:r w:rsidR="003C46D6">
        <w:rPr>
          <w:b/>
        </w:rPr>
        <w:t xml:space="preserve"> </w:t>
      </w:r>
      <w:r w:rsidR="0066307D">
        <w:rPr>
          <w:b/>
        </w:rPr>
        <w:t xml:space="preserve">Sign a Work-Made-For-Hire Agreement Prior to Commencing Work. </w:t>
      </w:r>
    </w:p>
    <w:p w14:paraId="6D5C0028" w14:textId="77777777" w:rsidR="00B50CAB" w:rsidRPr="001A42AD" w:rsidRDefault="00B50CAB" w:rsidP="00B50CAB">
      <w:pPr>
        <w:spacing w:after="200"/>
        <w:ind w:firstLine="720"/>
      </w:pPr>
      <w:r>
        <w:rPr>
          <w:rFonts w:cstheme="minorHAnsi"/>
        </w:rPr>
        <w:t xml:space="preserve">Plain language is the first place the court should look when interpreting a statute. </w:t>
      </w:r>
      <w:proofErr w:type="gramStart"/>
      <w:r w:rsidRPr="00D54D0C">
        <w:rPr>
          <w:rFonts w:cstheme="minorHAnsi"/>
          <w:i/>
        </w:rPr>
        <w:t>Williams v. Taylor</w:t>
      </w:r>
      <w:r>
        <w:rPr>
          <w:rFonts w:cstheme="minorHAnsi"/>
        </w:rPr>
        <w:t>, 529 U.S. 420, 431 (2000).</w:t>
      </w:r>
      <w:proofErr w:type="gramEnd"/>
      <w:r>
        <w:rPr>
          <w:rFonts w:cstheme="minorHAnsi"/>
        </w:rPr>
        <w:t xml:space="preserve"> </w:t>
      </w:r>
      <w:r w:rsidR="00456ED7">
        <w:t>This involves giving effect to each word and recognizing th</w:t>
      </w:r>
      <w:r w:rsidR="00904EAD">
        <w:t>at "a statute ought</w:t>
      </w:r>
      <w:r w:rsidR="00456ED7">
        <w:t xml:space="preserve"> to be so construed that, if it can be prevented, no clause, sentence, or word shall be superfluous, void, or insignificant."</w:t>
      </w:r>
      <w:r w:rsidR="00456ED7" w:rsidRPr="004168D3">
        <w:rPr>
          <w:i/>
          <w:iCs/>
        </w:rPr>
        <w:t xml:space="preserve"> </w:t>
      </w:r>
      <w:r w:rsidR="00456ED7">
        <w:rPr>
          <w:i/>
          <w:iCs/>
        </w:rPr>
        <w:t>Market Co. v. Hoffman</w:t>
      </w:r>
      <w:r w:rsidR="00456ED7">
        <w:t xml:space="preserve">, 101 </w:t>
      </w:r>
      <w:r w:rsidR="00E739FE">
        <w:t xml:space="preserve">U.S. 112, </w:t>
      </w:r>
      <w:r w:rsidR="00456ED7">
        <w:t>1</w:t>
      </w:r>
      <w:r w:rsidR="00456ED7" w:rsidRPr="004168D3">
        <w:t>16</w:t>
      </w:r>
      <w:r w:rsidR="00456ED7">
        <w:t xml:space="preserve">. </w:t>
      </w:r>
      <w:r w:rsidR="00456ED7">
        <w:rPr>
          <w:rFonts w:cstheme="minorHAnsi"/>
        </w:rPr>
        <w:t>Under</w:t>
      </w:r>
      <w:r>
        <w:t xml:space="preserve"> </w:t>
      </w:r>
      <w:r w:rsidR="009C6555">
        <w:t>the Federal Copyright Act</w:t>
      </w:r>
      <w:r w:rsidR="00BF3C7D">
        <w:t>,</w:t>
      </w:r>
      <w:r>
        <w:t xml:space="preserve"> a work-for-hire is a work specially ordered or commissioned for use as a contribution to a collective work, “if the parties expressly agree in a written instrument signed by them that the work shall be considere</w:t>
      </w:r>
      <w:r w:rsidR="009C6555">
        <w:t xml:space="preserve">d a work </w:t>
      </w:r>
      <w:r w:rsidR="00904EAD">
        <w:t>made for hire.”</w:t>
      </w:r>
      <w:r w:rsidR="009C6555">
        <w:t xml:space="preserve"> </w:t>
      </w:r>
      <w:proofErr w:type="gramStart"/>
      <w:r w:rsidR="009C6555">
        <w:rPr>
          <w:rFonts w:cstheme="minorHAnsi"/>
        </w:rPr>
        <w:t xml:space="preserve">17 U.S.C. </w:t>
      </w:r>
      <w:r w:rsidR="009C6555" w:rsidRPr="008B5627">
        <w:rPr>
          <w:rFonts w:cstheme="minorHAnsi"/>
        </w:rPr>
        <w:t>§</w:t>
      </w:r>
      <w:r w:rsidR="009C6555">
        <w:t xml:space="preserve"> 101.</w:t>
      </w:r>
      <w:proofErr w:type="gramEnd"/>
      <w:r w:rsidR="009C6555">
        <w:t xml:space="preserve"> </w:t>
      </w:r>
      <w:r w:rsidR="0040143A">
        <w:t>T</w:t>
      </w:r>
      <w:r>
        <w:t xml:space="preserve">he proviso requiring a ‘written instrument signed by them’ is a simple </w:t>
      </w:r>
      <w:r>
        <w:lastRenderedPageBreak/>
        <w:t>requirement that a written instrument be signed between the contracting parties to manifest their intent.</w:t>
      </w:r>
      <w:r w:rsidR="00BF3C7D">
        <w:t xml:space="preserve"> </w:t>
      </w:r>
      <w:r w:rsidR="004065A3" w:rsidRPr="004065A3">
        <w:rPr>
          <w:i/>
        </w:rPr>
        <w:t>Spectrum Creations, L.P. v. Carolyn Kinder Int'l, LLC</w:t>
      </w:r>
      <w:r w:rsidR="004065A3" w:rsidRPr="004065A3">
        <w:t>, 2008 U.</w:t>
      </w:r>
      <w:r w:rsidR="00D20F9E">
        <w:t>S. Dist. LEXIS 10603 (W.D. Tex.</w:t>
      </w:r>
      <w:r w:rsidR="004065A3" w:rsidRPr="004065A3">
        <w:t>2008)</w:t>
      </w:r>
      <w:r w:rsidR="004065A3">
        <w:t>.</w:t>
      </w:r>
      <w:r w:rsidR="000E12B4">
        <w:t xml:space="preserve"> </w:t>
      </w:r>
      <w:r>
        <w:t>This intent must be clear as indicated by the words ‘expressly agree</w:t>
      </w:r>
      <w:r w:rsidR="000E12B4">
        <w:t>.</w:t>
      </w:r>
      <w:r>
        <w:t>’</w:t>
      </w:r>
      <w:r w:rsidR="00D20F9E">
        <w:t xml:space="preserve"> </w:t>
      </w:r>
      <w:r>
        <w:t xml:space="preserve">Additionally, this proviso limits a previous condition, namely that the work must be specifically commissioned as a contribution to a collective work. </w:t>
      </w:r>
      <w:r w:rsidR="00904EAD" w:rsidRPr="00904EAD">
        <w:rPr>
          <w:i/>
        </w:rPr>
        <w:t>See</w:t>
      </w:r>
      <w:r w:rsidR="00904EAD">
        <w:t xml:space="preserve"> </w:t>
      </w:r>
      <w:r w:rsidR="0083600B" w:rsidRPr="0083600B">
        <w:rPr>
          <w:i/>
        </w:rPr>
        <w:t xml:space="preserve">Alcorn v. </w:t>
      </w:r>
      <w:proofErr w:type="spellStart"/>
      <w:r w:rsidR="0083600B" w:rsidRPr="0083600B">
        <w:rPr>
          <w:i/>
        </w:rPr>
        <w:t>Hamer</w:t>
      </w:r>
      <w:proofErr w:type="spellEnd"/>
      <w:r w:rsidR="0083600B" w:rsidRPr="0083600B">
        <w:t>, 38 Miss. 652, 1859 Miss. LEXIS 113 (Miss. 1860)</w:t>
      </w:r>
      <w:r w:rsidR="004065A3">
        <w:t xml:space="preserve">. </w:t>
      </w:r>
      <w:r w:rsidR="005C3123">
        <w:t>While</w:t>
      </w:r>
      <w:r>
        <w:t xml:space="preserve"> these provisions are dependent on each other for an accurate reading of the text, </w:t>
      </w:r>
      <w:r w:rsidR="005C3123">
        <w:t>no further provisions were included that impose a timing requirement.</w:t>
      </w:r>
      <w:r>
        <w:t xml:space="preserve"> Because the text is silent as to when the parties must execute the written agreement, a strict meaning</w:t>
      </w:r>
      <w:r w:rsidR="00D20F9E">
        <w:t xml:space="preserve"> </w:t>
      </w:r>
      <w:r>
        <w:t xml:space="preserve">of the statute is preferable because it assumes that Congress carefully drafted the legislation, giving great deliberation to </w:t>
      </w:r>
      <w:r w:rsidR="004434E4">
        <w:t xml:space="preserve">the words and clauses </w:t>
      </w:r>
      <w:r>
        <w:t xml:space="preserve">included. </w:t>
      </w:r>
      <w:r w:rsidR="00456ED7">
        <w:t xml:space="preserve">William </w:t>
      </w:r>
      <w:proofErr w:type="spellStart"/>
      <w:r w:rsidR="00456ED7">
        <w:t>Popkin</w:t>
      </w:r>
      <w:proofErr w:type="spellEnd"/>
      <w:r w:rsidR="00456ED7">
        <w:t xml:space="preserve">, </w:t>
      </w:r>
      <w:r w:rsidR="00456ED7" w:rsidRPr="00244F2D">
        <w:rPr>
          <w:i/>
        </w:rPr>
        <w:t>Statues in Court: The History and Theory of Statutory Interpretation</w:t>
      </w:r>
      <w:r w:rsidR="00456ED7">
        <w:t xml:space="preserve"> 227 (1999).</w:t>
      </w:r>
      <w:r w:rsidR="009C6555">
        <w:t xml:space="preserve"> </w:t>
      </w:r>
      <w:r>
        <w:t>“If there is doubt about whether something is included within an ambiguous term, a strict interpretation would require a negative answer.”</w:t>
      </w:r>
      <w:r w:rsidR="00456ED7">
        <w:t xml:space="preserve"> </w:t>
      </w:r>
      <w:r w:rsidR="00456ED7" w:rsidRPr="00456ED7">
        <w:rPr>
          <w:i/>
        </w:rPr>
        <w:t>Id.</w:t>
      </w:r>
      <w:r w:rsidR="00456ED7">
        <w:t xml:space="preserve"> </w:t>
      </w:r>
    </w:p>
    <w:p w14:paraId="7D7EF7B0" w14:textId="77777777" w:rsidR="00B50CAB" w:rsidRDefault="00BF3C7D" w:rsidP="003D2CC2">
      <w:pPr>
        <w:ind w:firstLine="720"/>
        <w:rPr>
          <w:rFonts w:eastAsia="Times New Roman" w:cs="Times New Roman"/>
          <w:szCs w:val="24"/>
        </w:rPr>
      </w:pPr>
      <w:r>
        <w:t>Since</w:t>
      </w:r>
      <w:r w:rsidR="00B50CAB">
        <w:t xml:space="preserve"> no language suggests that an instrument must be signed prior to the creation of a work, such a requirement should not be implied. In statutory law, silence </w:t>
      </w:r>
      <w:r>
        <w:t>either</w:t>
      </w:r>
      <w:r w:rsidR="00B50CAB">
        <w:t xml:space="preserve"> </w:t>
      </w:r>
      <w:r w:rsidR="00456ED7">
        <w:t xml:space="preserve">indicates </w:t>
      </w:r>
      <w:r w:rsidR="00456ED7">
        <w:rPr>
          <w:rFonts w:eastAsia="Times New Roman" w:cs="Times New Roman"/>
          <w:szCs w:val="24"/>
        </w:rPr>
        <w:t>congressional</w:t>
      </w:r>
      <w:r w:rsidR="00B50CAB" w:rsidRPr="001D5551">
        <w:rPr>
          <w:rFonts w:eastAsia="Times New Roman" w:cs="Times New Roman"/>
          <w:szCs w:val="24"/>
        </w:rPr>
        <w:t xml:space="preserve"> </w:t>
      </w:r>
      <w:r w:rsidR="00456ED7">
        <w:rPr>
          <w:rFonts w:eastAsia="Times New Roman" w:cs="Times New Roman"/>
          <w:szCs w:val="24"/>
        </w:rPr>
        <w:t>intent to</w:t>
      </w:r>
      <w:r w:rsidR="00B50CAB" w:rsidRPr="001D5551">
        <w:rPr>
          <w:rFonts w:eastAsia="Times New Roman" w:cs="Times New Roman"/>
          <w:szCs w:val="24"/>
        </w:rPr>
        <w:t xml:space="preserve"> rule out a particular statutory application, </w:t>
      </w:r>
      <w:r w:rsidR="00B50CAB">
        <w:rPr>
          <w:rFonts w:eastAsia="Times New Roman" w:cs="Times New Roman"/>
          <w:szCs w:val="24"/>
        </w:rPr>
        <w:t xml:space="preserve">or </w:t>
      </w:r>
      <w:r>
        <w:rPr>
          <w:rFonts w:eastAsia="Times New Roman" w:cs="Times New Roman"/>
          <w:szCs w:val="24"/>
        </w:rPr>
        <w:t>it</w:t>
      </w:r>
      <w:r w:rsidR="00B50CAB" w:rsidRPr="001D5551">
        <w:rPr>
          <w:rFonts w:eastAsia="Times New Roman" w:cs="Times New Roman"/>
          <w:szCs w:val="24"/>
        </w:rPr>
        <w:t xml:space="preserve"> signifies an expectation that nothing more need be said to effectuate the legislative objective.</w:t>
      </w:r>
      <w:r w:rsidR="00B50CAB">
        <w:rPr>
          <w:rFonts w:eastAsia="Times New Roman" w:cs="Times New Roman"/>
          <w:szCs w:val="24"/>
        </w:rPr>
        <w:t xml:space="preserve"> </w:t>
      </w:r>
      <w:r w:rsidR="00456ED7" w:rsidRPr="001D5551">
        <w:rPr>
          <w:rFonts w:eastAsia="Times New Roman" w:cs="Times New Roman"/>
          <w:i/>
          <w:szCs w:val="24"/>
        </w:rPr>
        <w:t>Burns v. United States</w:t>
      </w:r>
      <w:r w:rsidR="00456ED7" w:rsidRPr="001D5551">
        <w:rPr>
          <w:rFonts w:eastAsia="Times New Roman" w:cs="Times New Roman"/>
          <w:szCs w:val="24"/>
        </w:rPr>
        <w:t xml:space="preserve">, 501 U.S. </w:t>
      </w:r>
      <w:r w:rsidR="003D2CC2">
        <w:rPr>
          <w:rFonts w:eastAsia="Times New Roman" w:cs="Times New Roman"/>
          <w:szCs w:val="24"/>
        </w:rPr>
        <w:t>129, 136</w:t>
      </w:r>
      <w:r w:rsidR="003D2CC2" w:rsidRPr="003D2CC2">
        <w:rPr>
          <w:rFonts w:eastAsia="Times New Roman" w:cs="Times New Roman"/>
          <w:szCs w:val="24"/>
        </w:rPr>
        <w:t>(1991)</w:t>
      </w:r>
      <w:r w:rsidR="003D2CC2">
        <w:rPr>
          <w:rFonts w:eastAsia="Times New Roman" w:cs="Times New Roman"/>
          <w:szCs w:val="24"/>
        </w:rPr>
        <w:t xml:space="preserve"> </w:t>
      </w:r>
      <w:r w:rsidR="00B50CAB">
        <w:rPr>
          <w:rFonts w:eastAsia="Times New Roman" w:cs="Times New Roman"/>
          <w:szCs w:val="24"/>
        </w:rPr>
        <w:t>In order to properly draw an</w:t>
      </w:r>
      <w:r w:rsidR="00B50CAB" w:rsidRPr="001D5551">
        <w:rPr>
          <w:rFonts w:eastAsia="Times New Roman" w:cs="Times New Roman"/>
          <w:szCs w:val="24"/>
        </w:rPr>
        <w:t xml:space="preserve"> inference from congressional silence</w:t>
      </w:r>
      <w:r w:rsidR="00B50CAB">
        <w:rPr>
          <w:rFonts w:eastAsia="Times New Roman" w:cs="Times New Roman"/>
          <w:szCs w:val="24"/>
        </w:rPr>
        <w:t>,</w:t>
      </w:r>
      <w:r w:rsidR="00B50CAB" w:rsidRPr="001D5551">
        <w:rPr>
          <w:rFonts w:eastAsia="Times New Roman" w:cs="Times New Roman"/>
          <w:szCs w:val="24"/>
        </w:rPr>
        <w:t xml:space="preserve"> </w:t>
      </w:r>
      <w:r w:rsidR="003D2CC2">
        <w:rPr>
          <w:rFonts w:eastAsia="Times New Roman" w:cs="Times New Roman"/>
          <w:szCs w:val="24"/>
        </w:rPr>
        <w:t>this silence</w:t>
      </w:r>
      <w:r w:rsidR="00B50CAB">
        <w:rPr>
          <w:rFonts w:eastAsia="Times New Roman" w:cs="Times New Roman"/>
          <w:szCs w:val="24"/>
        </w:rPr>
        <w:t xml:space="preserve"> must not</w:t>
      </w:r>
      <w:r w:rsidR="00B50CAB" w:rsidRPr="001D5551">
        <w:rPr>
          <w:rFonts w:eastAsia="Times New Roman" w:cs="Times New Roman"/>
          <w:szCs w:val="24"/>
        </w:rPr>
        <w:t xml:space="preserve"> </w:t>
      </w:r>
      <w:r w:rsidR="00B50CAB">
        <w:rPr>
          <w:rFonts w:eastAsia="Times New Roman" w:cs="Times New Roman"/>
          <w:szCs w:val="24"/>
        </w:rPr>
        <w:t>contradict</w:t>
      </w:r>
      <w:r w:rsidR="00B50CAB" w:rsidRPr="001D5551">
        <w:rPr>
          <w:rFonts w:eastAsia="Times New Roman" w:cs="Times New Roman"/>
          <w:szCs w:val="24"/>
        </w:rPr>
        <w:t xml:space="preserve"> all other textual and contextual evidence of congressional intent</w:t>
      </w:r>
      <w:r w:rsidR="00B50CAB">
        <w:rPr>
          <w:rFonts w:eastAsia="Times New Roman" w:cs="Times New Roman"/>
          <w:szCs w:val="24"/>
        </w:rPr>
        <w:t xml:space="preserve"> within the statute</w:t>
      </w:r>
      <w:r w:rsidR="005C3123">
        <w:rPr>
          <w:rFonts w:eastAsia="Times New Roman" w:cs="Times New Roman"/>
          <w:szCs w:val="24"/>
        </w:rPr>
        <w:t>’</w:t>
      </w:r>
      <w:r w:rsidR="00B50CAB">
        <w:rPr>
          <w:rFonts w:eastAsia="Times New Roman" w:cs="Times New Roman"/>
          <w:szCs w:val="24"/>
        </w:rPr>
        <w:t>s plain meaning</w:t>
      </w:r>
      <w:r w:rsidR="00B50CAB" w:rsidRPr="001D5551">
        <w:rPr>
          <w:rFonts w:eastAsia="Times New Roman" w:cs="Times New Roman"/>
          <w:szCs w:val="24"/>
        </w:rPr>
        <w:t>.</w:t>
      </w:r>
      <w:r w:rsidR="00B50CAB">
        <w:rPr>
          <w:rFonts w:eastAsia="Times New Roman" w:cs="Times New Roman"/>
          <w:szCs w:val="24"/>
        </w:rPr>
        <w:t xml:space="preserve"> </w:t>
      </w:r>
      <w:r w:rsidR="00B50CAB" w:rsidRPr="001D5551">
        <w:rPr>
          <w:rFonts w:eastAsia="Times New Roman" w:cs="Times New Roman"/>
          <w:i/>
          <w:szCs w:val="24"/>
        </w:rPr>
        <w:t>Id.</w:t>
      </w:r>
      <w:r w:rsidR="00B50CAB">
        <w:rPr>
          <w:rFonts w:eastAsia="Times New Roman" w:cs="Times New Roman"/>
          <w:i/>
          <w:szCs w:val="24"/>
        </w:rPr>
        <w:t xml:space="preserve"> </w:t>
      </w:r>
      <w:r w:rsidR="005C3123">
        <w:rPr>
          <w:rFonts w:eastAsia="Times New Roman" w:cs="Times New Roman"/>
          <w:szCs w:val="24"/>
        </w:rPr>
        <w:t>Within</w:t>
      </w:r>
      <w:r w:rsidR="00B50CAB" w:rsidRPr="001D5551">
        <w:rPr>
          <w:rFonts w:eastAsia="Times New Roman" w:cs="Times New Roman"/>
          <w:szCs w:val="24"/>
        </w:rPr>
        <w:t xml:space="preserve"> the</w:t>
      </w:r>
      <w:r w:rsidR="005C3123">
        <w:rPr>
          <w:rFonts w:eastAsia="Times New Roman" w:cs="Times New Roman"/>
          <w:szCs w:val="24"/>
        </w:rPr>
        <w:t xml:space="preserve"> statute, there is no</w:t>
      </w:r>
      <w:r w:rsidR="00B50CAB" w:rsidRPr="001D5551">
        <w:rPr>
          <w:rFonts w:eastAsia="Times New Roman" w:cs="Times New Roman"/>
          <w:szCs w:val="24"/>
        </w:rPr>
        <w:t xml:space="preserve"> textual </w:t>
      </w:r>
      <w:r w:rsidR="006A03D5">
        <w:rPr>
          <w:rFonts w:eastAsia="Times New Roman" w:cs="Times New Roman"/>
          <w:szCs w:val="24"/>
        </w:rPr>
        <w:t>or</w:t>
      </w:r>
      <w:r w:rsidR="00B50CAB" w:rsidRPr="001D5551">
        <w:rPr>
          <w:rFonts w:eastAsia="Times New Roman" w:cs="Times New Roman"/>
          <w:szCs w:val="24"/>
        </w:rPr>
        <w:t xml:space="preserve"> contextual evidence </w:t>
      </w:r>
      <w:r w:rsidR="006A03D5">
        <w:rPr>
          <w:rFonts w:eastAsia="Times New Roman" w:cs="Times New Roman"/>
          <w:szCs w:val="24"/>
        </w:rPr>
        <w:t>that</w:t>
      </w:r>
      <w:r w:rsidR="00B50CAB">
        <w:rPr>
          <w:rFonts w:eastAsia="Times New Roman" w:cs="Times New Roman"/>
          <w:szCs w:val="24"/>
        </w:rPr>
        <w:t xml:space="preserve"> </w:t>
      </w:r>
      <w:r w:rsidR="006A03D5">
        <w:rPr>
          <w:rFonts w:eastAsia="Times New Roman" w:cs="Times New Roman"/>
          <w:szCs w:val="24"/>
        </w:rPr>
        <w:t>indicates Congress</w:t>
      </w:r>
      <w:r w:rsidR="00B50CAB" w:rsidRPr="001D5551">
        <w:rPr>
          <w:rFonts w:eastAsia="Times New Roman" w:cs="Times New Roman"/>
          <w:szCs w:val="24"/>
        </w:rPr>
        <w:t xml:space="preserve"> intend</w:t>
      </w:r>
      <w:r w:rsidR="006A03D5">
        <w:rPr>
          <w:rFonts w:eastAsia="Times New Roman" w:cs="Times New Roman"/>
          <w:szCs w:val="24"/>
        </w:rPr>
        <w:t>ed</w:t>
      </w:r>
      <w:r w:rsidR="00B50CAB">
        <w:rPr>
          <w:rFonts w:eastAsia="Times New Roman" w:cs="Times New Roman"/>
          <w:szCs w:val="24"/>
        </w:rPr>
        <w:t xml:space="preserve"> a pre-creation contract to be the sole method by which parties agr</w:t>
      </w:r>
      <w:r w:rsidR="00206A8D">
        <w:rPr>
          <w:rFonts w:eastAsia="Times New Roman" w:cs="Times New Roman"/>
          <w:szCs w:val="24"/>
        </w:rPr>
        <w:t>ee to work on a for-hire basis.</w:t>
      </w:r>
    </w:p>
    <w:p w14:paraId="0AF11034" w14:textId="77777777" w:rsidR="00B50CAB" w:rsidRPr="005D2FC0" w:rsidRDefault="00B50CAB" w:rsidP="00B50CAB">
      <w:pPr>
        <w:spacing w:after="240"/>
        <w:ind w:firstLine="720"/>
        <w:rPr>
          <w:rStyle w:val="ssens"/>
          <w:rFonts w:eastAsia="Times New Roman" w:cs="Times New Roman"/>
          <w:szCs w:val="24"/>
        </w:rPr>
      </w:pPr>
      <w:r>
        <w:lastRenderedPageBreak/>
        <w:t xml:space="preserve">The use of the auxiliary verb ‘shall’ has an important effect on </w:t>
      </w:r>
      <w:r w:rsidR="00BF3C7D">
        <w:t>the statute’s</w:t>
      </w:r>
      <w:r w:rsidR="003D2CC2">
        <w:t xml:space="preserve"> plain </w:t>
      </w:r>
      <w:r>
        <w:t>meaning. According to the word’s proper legal definition, it is “</w:t>
      </w:r>
      <w:r>
        <w:rPr>
          <w:rStyle w:val="ssens"/>
        </w:rPr>
        <w:t xml:space="preserve">used in laws, regulations, or directives to express what is mandatory.” </w:t>
      </w:r>
      <w:proofErr w:type="gramStart"/>
      <w:r w:rsidRPr="00A26AA3">
        <w:rPr>
          <w:rStyle w:val="ssens"/>
          <w:i/>
        </w:rPr>
        <w:t>Miriam Webster’s Collegiate Dictionary</w:t>
      </w:r>
      <w:r>
        <w:rPr>
          <w:rStyle w:val="ssens"/>
        </w:rPr>
        <w:t>, 621 (11</w:t>
      </w:r>
      <w:r w:rsidR="001A42AD">
        <w:rPr>
          <w:rStyle w:val="ssens"/>
        </w:rPr>
        <w:t>th</w:t>
      </w:r>
      <w:r>
        <w:rPr>
          <w:rStyle w:val="ssens"/>
        </w:rPr>
        <w:t xml:space="preserve"> ed. 2006).</w:t>
      </w:r>
      <w:proofErr w:type="gramEnd"/>
      <w:r>
        <w:rPr>
          <w:rStyle w:val="ssens"/>
        </w:rPr>
        <w:t xml:space="preserve"> The use of the word ‘shall’ in the statute indicates that Congress was referring to an obligation on the parties or an intention of the parties to be bound to their agreement. </w:t>
      </w:r>
      <w:r w:rsidRPr="005D2FC0">
        <w:rPr>
          <w:rFonts w:eastAsia="Times New Roman" w:cs="Times New Roman"/>
          <w:szCs w:val="24"/>
        </w:rPr>
        <w:t>The</w:t>
      </w:r>
      <w:r>
        <w:rPr>
          <w:rFonts w:eastAsia="Times New Roman" w:cs="Times New Roman"/>
          <w:szCs w:val="24"/>
        </w:rPr>
        <w:t xml:space="preserve"> operative word ‘shall’ in a</w:t>
      </w:r>
      <w:r w:rsidRPr="005D2FC0">
        <w:rPr>
          <w:rFonts w:eastAsia="Times New Roman" w:cs="Times New Roman"/>
          <w:szCs w:val="24"/>
        </w:rPr>
        <w:t xml:space="preserve"> statute's language is </w:t>
      </w:r>
      <w:r>
        <w:rPr>
          <w:rFonts w:eastAsia="Times New Roman" w:cs="Times New Roman"/>
          <w:szCs w:val="24"/>
        </w:rPr>
        <w:t xml:space="preserve">used to </w:t>
      </w:r>
      <w:r w:rsidRPr="005D2FC0">
        <w:rPr>
          <w:rFonts w:eastAsia="Times New Roman" w:cs="Times New Roman"/>
          <w:szCs w:val="24"/>
        </w:rPr>
        <w:t>p</w:t>
      </w:r>
      <w:r>
        <w:rPr>
          <w:rFonts w:eastAsia="Times New Roman" w:cs="Times New Roman"/>
          <w:szCs w:val="24"/>
        </w:rPr>
        <w:t xml:space="preserve">hrase a mandatory procedure. </w:t>
      </w:r>
      <w:proofErr w:type="gramStart"/>
      <w:r w:rsidRPr="005D2FC0">
        <w:rPr>
          <w:rFonts w:eastAsia="Times New Roman" w:cs="Times New Roman"/>
          <w:i/>
          <w:szCs w:val="24"/>
        </w:rPr>
        <w:t>People v. Alvarado</w:t>
      </w:r>
      <w:r w:rsidRPr="005D2FC0">
        <w:rPr>
          <w:rFonts w:eastAsia="Times New Roman" w:cs="Times New Roman"/>
          <w:szCs w:val="24"/>
        </w:rPr>
        <w:t xml:space="preserve">, 181 Cal. App. 3d Supp. 1, 5, 226 Cal. </w:t>
      </w:r>
      <w:proofErr w:type="spellStart"/>
      <w:r w:rsidRPr="005D2FC0">
        <w:rPr>
          <w:rFonts w:eastAsia="Times New Roman" w:cs="Times New Roman"/>
          <w:szCs w:val="24"/>
        </w:rPr>
        <w:t>Rptr</w:t>
      </w:r>
      <w:proofErr w:type="spellEnd"/>
      <w:r w:rsidRPr="005D2FC0">
        <w:rPr>
          <w:rFonts w:eastAsia="Times New Roman" w:cs="Times New Roman"/>
          <w:szCs w:val="24"/>
        </w:rPr>
        <w:t>. 329, 331 (App. Dep't Super Ct. 1986)</w:t>
      </w:r>
      <w:r>
        <w:rPr>
          <w:rFonts w:eastAsia="Times New Roman" w:cs="Times New Roman"/>
          <w:szCs w:val="24"/>
        </w:rPr>
        <w:t>.</w:t>
      </w:r>
      <w:proofErr w:type="gramEnd"/>
    </w:p>
    <w:p w14:paraId="5D0758B4" w14:textId="77777777" w:rsidR="00B50CAB" w:rsidRDefault="00B50CAB" w:rsidP="00AA00E8">
      <w:pPr>
        <w:ind w:firstLine="720"/>
        <w:rPr>
          <w:rStyle w:val="ssens"/>
        </w:rPr>
      </w:pPr>
      <w:r>
        <w:rPr>
          <w:rStyle w:val="ssens"/>
        </w:rPr>
        <w:t xml:space="preserve">Had Congress chosen the word ‘will’ in place of </w:t>
      </w:r>
      <w:r w:rsidR="00A711F3">
        <w:rPr>
          <w:rStyle w:val="ssens"/>
        </w:rPr>
        <w:t>‘</w:t>
      </w:r>
      <w:r>
        <w:rPr>
          <w:rStyle w:val="ssens"/>
        </w:rPr>
        <w:t>shall</w:t>
      </w:r>
      <w:r w:rsidR="001A42AD">
        <w:rPr>
          <w:rStyle w:val="ssens"/>
        </w:rPr>
        <w:t>,</w:t>
      </w:r>
      <w:r w:rsidR="00A711F3">
        <w:rPr>
          <w:rStyle w:val="ssens"/>
        </w:rPr>
        <w:t>’</w:t>
      </w:r>
      <w:r>
        <w:rPr>
          <w:rStyle w:val="ssens"/>
        </w:rPr>
        <w:t xml:space="preserve"> this would have had the effect of expressing futurity thus adding a temporal element to the statute. </w:t>
      </w:r>
      <w:proofErr w:type="spellStart"/>
      <w:proofErr w:type="gramStart"/>
      <w:r w:rsidRPr="005D2FC0">
        <w:rPr>
          <w:rStyle w:val="ssens"/>
          <w:i/>
        </w:rPr>
        <w:t>Teece</w:t>
      </w:r>
      <w:proofErr w:type="spellEnd"/>
      <w:r w:rsidRPr="005D2FC0">
        <w:rPr>
          <w:rStyle w:val="ssens"/>
          <w:i/>
        </w:rPr>
        <w:t xml:space="preserve"> v. Boyle</w:t>
      </w:r>
      <w:r w:rsidR="001A3773">
        <w:rPr>
          <w:rStyle w:val="ssens"/>
        </w:rPr>
        <w:t xml:space="preserve">, </w:t>
      </w:r>
      <w:r w:rsidRPr="005D2FC0">
        <w:rPr>
          <w:rStyle w:val="ssens"/>
        </w:rPr>
        <w:t>102 N.E.2d 347, 351 (Ill. App. Ct. 1951)</w:t>
      </w:r>
      <w:r>
        <w:rPr>
          <w:rStyle w:val="ssens"/>
        </w:rPr>
        <w:t>.</w:t>
      </w:r>
      <w:proofErr w:type="gramEnd"/>
      <w:r w:rsidR="001A3773">
        <w:rPr>
          <w:rStyle w:val="ssens"/>
        </w:rPr>
        <w:t xml:space="preserve"> </w:t>
      </w:r>
      <w:r>
        <w:rPr>
          <w:rStyle w:val="ssens"/>
        </w:rPr>
        <w:t>The word ‘shall’ is</w:t>
      </w:r>
      <w:r w:rsidRPr="005D2FC0">
        <w:rPr>
          <w:rStyle w:val="ssens"/>
        </w:rPr>
        <w:t xml:space="preserve"> distinct from </w:t>
      </w:r>
      <w:r w:rsidR="00A711F3">
        <w:rPr>
          <w:rStyle w:val="ssens"/>
        </w:rPr>
        <w:t xml:space="preserve">the word </w:t>
      </w:r>
      <w:r w:rsidRPr="005D2FC0">
        <w:rPr>
          <w:rStyle w:val="ssens"/>
        </w:rPr>
        <w:t xml:space="preserve">‘will’ </w:t>
      </w:r>
      <w:r>
        <w:rPr>
          <w:rStyle w:val="ssens"/>
        </w:rPr>
        <w:t xml:space="preserve">because it </w:t>
      </w:r>
      <w:r w:rsidRPr="005D2FC0">
        <w:rPr>
          <w:rStyle w:val="ssens"/>
        </w:rPr>
        <w:t>imports</w:t>
      </w:r>
      <w:r w:rsidR="002149EA">
        <w:rPr>
          <w:rStyle w:val="ssens"/>
        </w:rPr>
        <w:t xml:space="preserve"> command</w:t>
      </w:r>
      <w:r w:rsidRPr="005D2FC0">
        <w:rPr>
          <w:rStyle w:val="ssens"/>
        </w:rPr>
        <w:t>, not futurity.</w:t>
      </w:r>
      <w:r>
        <w:rPr>
          <w:rStyle w:val="ssens"/>
        </w:rPr>
        <w:t xml:space="preserve"> </w:t>
      </w:r>
      <w:r w:rsidRPr="00DE0AFB">
        <w:rPr>
          <w:rStyle w:val="ssens"/>
          <w:i/>
        </w:rPr>
        <w:t>Id.</w:t>
      </w:r>
      <w:r>
        <w:rPr>
          <w:rStyle w:val="ssens"/>
        </w:rPr>
        <w:t xml:space="preserve"> Only if the word ‘will’ had been selected could the statute be loosely read to mean that a work being commissioned at a present point in time, i.e. pre-creation, will be considered a work-made-for-hire at a future point in time, i.e. post-creation. However, such language was not used in the statute and as written it cannot be plainly read to require a pre-creation written agreement</w:t>
      </w:r>
      <w:r w:rsidR="00BF3C7D">
        <w:rPr>
          <w:rStyle w:val="ssens"/>
        </w:rPr>
        <w:t>.</w:t>
      </w:r>
    </w:p>
    <w:p w14:paraId="7DE2EBF8" w14:textId="77777777" w:rsidR="00BF7FF4" w:rsidRPr="00E500D2" w:rsidRDefault="00BF7FF4" w:rsidP="00BF7FF4">
      <w:pPr>
        <w:pStyle w:val="ListParagraph"/>
        <w:numPr>
          <w:ilvl w:val="0"/>
          <w:numId w:val="2"/>
        </w:numPr>
        <w:spacing w:after="200" w:line="276" w:lineRule="auto"/>
        <w:ind w:left="360"/>
        <w:rPr>
          <w:b/>
        </w:rPr>
      </w:pPr>
      <w:r>
        <w:rPr>
          <w:b/>
        </w:rPr>
        <w:t xml:space="preserve">The Execution of a Post-Creation Agreement Satisfies Congress’ Intent in </w:t>
      </w:r>
      <w:r w:rsidRPr="00A91785">
        <w:rPr>
          <w:b/>
        </w:rPr>
        <w:t xml:space="preserve">17 U.S.C. </w:t>
      </w:r>
      <w:r w:rsidRPr="00E500D2">
        <w:rPr>
          <w:b/>
        </w:rPr>
        <w:t>§</w:t>
      </w:r>
      <w:r w:rsidRPr="00A91785">
        <w:rPr>
          <w:b/>
        </w:rPr>
        <w:t xml:space="preserve"> 101</w:t>
      </w:r>
      <w:r>
        <w:rPr>
          <w:b/>
        </w:rPr>
        <w:t xml:space="preserve"> of Requiring Parties to Sign a Written Instrument Defining Ownership Rights</w:t>
      </w:r>
      <w:r w:rsidR="001A3773">
        <w:rPr>
          <w:b/>
        </w:rPr>
        <w:t>.</w:t>
      </w:r>
    </w:p>
    <w:p w14:paraId="05838F98" w14:textId="77777777" w:rsidR="00206A8D" w:rsidRDefault="00BF7FF4" w:rsidP="00BF7FF4">
      <w:pPr>
        <w:spacing w:after="240"/>
        <w:ind w:firstLine="720"/>
      </w:pPr>
      <w:r>
        <w:t xml:space="preserve">A review of legislative intent is useful as it allows the court to look beyond plain language and determine why the statute was revised, how Congress intended the statute to be interpreted, and what goals the drafters were seeking to accomplish. </w:t>
      </w:r>
      <w:r w:rsidRPr="0043632E">
        <w:rPr>
          <w:i/>
        </w:rPr>
        <w:t>Weber v. Dobbins</w:t>
      </w:r>
      <w:r>
        <w:t xml:space="preserve">, 616 So. </w:t>
      </w:r>
      <w:proofErr w:type="gramStart"/>
      <w:r>
        <w:t xml:space="preserve">2d 956, 958 </w:t>
      </w:r>
      <w:r w:rsidRPr="004C2EBD">
        <w:rPr>
          <w:rFonts w:eastAsia="Times New Roman" w:cs="Times New Roman"/>
          <w:szCs w:val="24"/>
        </w:rPr>
        <w:t>(Fla. 1993)</w:t>
      </w:r>
      <w:r>
        <w:rPr>
          <w:rFonts w:eastAsia="Times New Roman" w:cs="Times New Roman"/>
          <w:szCs w:val="24"/>
        </w:rPr>
        <w:t>.</w:t>
      </w:r>
      <w:proofErr w:type="gramEnd"/>
      <w:r>
        <w:t xml:space="preserve"> Furthermore, legislative intent bolster</w:t>
      </w:r>
      <w:r w:rsidR="002149EA">
        <w:t>s</w:t>
      </w:r>
      <w:r>
        <w:t xml:space="preserve"> the interpretation of the statute offered by plain meaning. </w:t>
      </w:r>
      <w:proofErr w:type="gramStart"/>
      <w:r w:rsidRPr="009F58CB">
        <w:rPr>
          <w:i/>
        </w:rPr>
        <w:t xml:space="preserve">Fla. Power &amp; Light v. </w:t>
      </w:r>
      <w:proofErr w:type="spellStart"/>
      <w:r w:rsidRPr="009F58CB">
        <w:rPr>
          <w:i/>
        </w:rPr>
        <w:t>Lorion</w:t>
      </w:r>
      <w:proofErr w:type="spellEnd"/>
      <w:r>
        <w:t>, 470 U</w:t>
      </w:r>
      <w:r w:rsidR="00206A8D">
        <w:t>.S. 729, 737 (1985).</w:t>
      </w:r>
      <w:proofErr w:type="gramEnd"/>
    </w:p>
    <w:p w14:paraId="23286F7F" w14:textId="77777777" w:rsidR="00BF7FF4" w:rsidRDefault="00BF7FF4" w:rsidP="00BF7FF4">
      <w:pPr>
        <w:spacing w:after="240"/>
        <w:ind w:firstLine="720"/>
        <w:rPr>
          <w:rFonts w:eastAsia="Times New Roman" w:cs="Times New Roman"/>
          <w:szCs w:val="24"/>
        </w:rPr>
      </w:pPr>
      <w:r>
        <w:lastRenderedPageBreak/>
        <w:t xml:space="preserve">Before the 1976 Copyright Act, the last major revision of statutory copyright law occurred in 1909. </w:t>
      </w:r>
      <w:r w:rsidRPr="00A637E4">
        <w:rPr>
          <w:rFonts w:eastAsia="Times New Roman" w:cs="Times New Roman"/>
          <w:szCs w:val="24"/>
        </w:rPr>
        <w:t>H.R. REP. 94-1476, 121, 1976 U.S.C.C.A.N. 5659, 5737, 1976 WL 14045, 76</w:t>
      </w:r>
      <w:r>
        <w:rPr>
          <w:rFonts w:eastAsia="Times New Roman" w:cs="Times New Roman"/>
          <w:szCs w:val="24"/>
        </w:rPr>
        <w:t xml:space="preserve">. </w:t>
      </w:r>
      <w:r>
        <w:t>The 1976 Act was designed to account for extensive technological advances in television, sound recordings, and motion pictures</w:t>
      </w:r>
      <w:r w:rsidR="002149EA">
        <w:t>,</w:t>
      </w:r>
      <w:r>
        <w:t xml:space="preserve"> and </w:t>
      </w:r>
      <w:r w:rsidR="00904EAD">
        <w:t xml:space="preserve">to </w:t>
      </w:r>
      <w:r>
        <w:t xml:space="preserve">address the intellectual property questions that were raised by these new forms of communication. </w:t>
      </w:r>
      <w:r w:rsidRPr="00185891">
        <w:rPr>
          <w:i/>
        </w:rPr>
        <w:t>Id.</w:t>
      </w:r>
      <w:r>
        <w:t xml:space="preserve"> Additionally, companies were moving away from the traditional employee-employer relationship, choosing instead to contract employees on a work-for-hire basis. </w:t>
      </w:r>
      <w:r w:rsidRPr="008D2730">
        <w:rPr>
          <w:i/>
        </w:rPr>
        <w:t>Id.</w:t>
      </w:r>
      <w:r>
        <w:t xml:space="preserve"> In this historical context, Congress drafted the current </w:t>
      </w:r>
      <w:r w:rsidR="009F0751">
        <w:t xml:space="preserve">law </w:t>
      </w:r>
      <w:r>
        <w:rPr>
          <w:rFonts w:eastAsia="Times New Roman" w:cstheme="minorHAnsi"/>
        </w:rPr>
        <w:t>clarify</w:t>
      </w:r>
      <w:r w:rsidR="009F0751">
        <w:rPr>
          <w:rFonts w:eastAsia="Times New Roman" w:cstheme="minorHAnsi"/>
        </w:rPr>
        <w:t>ing</w:t>
      </w:r>
      <w:r>
        <w:rPr>
          <w:rFonts w:eastAsia="Times New Roman" w:cstheme="minorHAnsi"/>
        </w:rPr>
        <w:t xml:space="preserve"> who would own a copyright </w:t>
      </w:r>
      <w:r w:rsidR="009F0751">
        <w:rPr>
          <w:rFonts w:eastAsia="Times New Roman" w:cstheme="minorHAnsi"/>
        </w:rPr>
        <w:t xml:space="preserve">by requiring the </w:t>
      </w:r>
      <w:r>
        <w:rPr>
          <w:rFonts w:eastAsia="Times New Roman" w:cs="Times New Roman"/>
          <w:szCs w:val="24"/>
        </w:rPr>
        <w:t>parties</w:t>
      </w:r>
      <w:r w:rsidR="009F0751">
        <w:rPr>
          <w:rFonts w:eastAsia="Times New Roman" w:cs="Times New Roman"/>
          <w:szCs w:val="24"/>
        </w:rPr>
        <w:t xml:space="preserve"> to</w:t>
      </w:r>
      <w:r>
        <w:rPr>
          <w:rFonts w:eastAsia="Times New Roman" w:cs="Times New Roman"/>
          <w:szCs w:val="24"/>
        </w:rPr>
        <w:t xml:space="preserve"> sign a written instrument</w:t>
      </w:r>
      <w:r w:rsidR="009F0751">
        <w:rPr>
          <w:rFonts w:eastAsia="Times New Roman" w:cs="Times New Roman"/>
          <w:szCs w:val="24"/>
        </w:rPr>
        <w:t>.</w:t>
      </w:r>
      <w:r w:rsidR="006A03D5">
        <w:rPr>
          <w:rFonts w:eastAsia="Times New Roman" w:cs="Times New Roman"/>
          <w:szCs w:val="24"/>
        </w:rPr>
        <w:t xml:space="preserve"> </w:t>
      </w:r>
      <w:r w:rsidR="004065A3" w:rsidRPr="004065A3">
        <w:rPr>
          <w:rFonts w:eastAsia="Times New Roman" w:cs="Times New Roman"/>
          <w:i/>
          <w:szCs w:val="24"/>
        </w:rPr>
        <w:t>Id</w:t>
      </w:r>
      <w:r w:rsidR="004065A3">
        <w:rPr>
          <w:rFonts w:eastAsia="Times New Roman" w:cs="Times New Roman"/>
          <w:szCs w:val="24"/>
        </w:rPr>
        <w:t xml:space="preserve">. </w:t>
      </w:r>
    </w:p>
    <w:p w14:paraId="614A143B" w14:textId="77777777" w:rsidR="00BF7FF4" w:rsidRDefault="00BF7FF4" w:rsidP="00BF7FF4">
      <w:pPr>
        <w:spacing w:after="240"/>
        <w:ind w:firstLine="720"/>
        <w:rPr>
          <w:rFonts w:eastAsia="Times New Roman" w:cs="Times New Roman"/>
          <w:szCs w:val="24"/>
        </w:rPr>
      </w:pPr>
      <w:r>
        <w:rPr>
          <w:rFonts w:eastAsia="Times New Roman" w:cs="Times New Roman"/>
          <w:szCs w:val="24"/>
        </w:rPr>
        <w:t xml:space="preserve">At its passing, the law was considered a fair compromise between publishers’ and authors’ </w:t>
      </w:r>
      <w:r w:rsidRPr="00440FC9">
        <w:rPr>
          <w:rFonts w:eastAsia="Times New Roman" w:cs="Times New Roman"/>
          <w:szCs w:val="24"/>
        </w:rPr>
        <w:t xml:space="preserve">rights. </w:t>
      </w:r>
      <w:r>
        <w:rPr>
          <w:i/>
          <w:iCs/>
        </w:rPr>
        <w:t>Righting Copyright</w:t>
      </w:r>
      <w:r>
        <w:t xml:space="preserve">, Time, Nov. 1, 1976, at 92. </w:t>
      </w:r>
      <w:r w:rsidRPr="00440FC9">
        <w:rPr>
          <w:rFonts w:eastAsia="Times New Roman" w:cs="Times New Roman"/>
          <w:szCs w:val="24"/>
        </w:rPr>
        <w:t>Authors</w:t>
      </w:r>
      <w:r>
        <w:rPr>
          <w:rFonts w:eastAsia="Times New Roman" w:cs="Times New Roman"/>
          <w:szCs w:val="24"/>
        </w:rPr>
        <w:t xml:space="preserve"> of commissioned works asserted that initial ownership rights should reside in the creator of a work-for-hire. </w:t>
      </w:r>
      <w:r w:rsidRPr="00F93017">
        <w:rPr>
          <w:rFonts w:eastAsia="Times New Roman" w:cs="Times New Roman"/>
          <w:i/>
          <w:szCs w:val="24"/>
        </w:rPr>
        <w:t>Id.</w:t>
      </w:r>
      <w:r>
        <w:rPr>
          <w:rFonts w:eastAsia="Times New Roman" w:cs="Times New Roman"/>
          <w:szCs w:val="24"/>
        </w:rPr>
        <w:t xml:space="preserve"> </w:t>
      </w:r>
      <w:r>
        <w:rPr>
          <w:rFonts w:eastAsia="Times New Roman" w:cstheme="minorHAnsi"/>
        </w:rPr>
        <w:t>A</w:t>
      </w:r>
      <w:r w:rsidRPr="00F3770E">
        <w:rPr>
          <w:rFonts w:eastAsia="Times New Roman" w:cstheme="minorHAnsi"/>
        </w:rPr>
        <w:t xml:space="preserve">uthors’ </w:t>
      </w:r>
      <w:r>
        <w:rPr>
          <w:rFonts w:eastAsia="Times New Roman" w:cstheme="minorHAnsi"/>
        </w:rPr>
        <w:t xml:space="preserve">furthermore </w:t>
      </w:r>
      <w:r w:rsidRPr="00F3770E">
        <w:rPr>
          <w:rFonts w:eastAsia="Times New Roman" w:cstheme="minorHAnsi"/>
        </w:rPr>
        <w:t>argued</w:t>
      </w:r>
      <w:r>
        <w:rPr>
          <w:rFonts w:eastAsia="Times New Roman" w:cstheme="minorHAnsi"/>
        </w:rPr>
        <w:t xml:space="preserve"> that if induced to sign work-made-for-hire agreements</w:t>
      </w:r>
      <w:r w:rsidRPr="00AF242E">
        <w:rPr>
          <w:rFonts w:eastAsia="Times New Roman" w:cstheme="minorHAnsi"/>
        </w:rPr>
        <w:t xml:space="preserve"> </w:t>
      </w:r>
      <w:r w:rsidRPr="00F3770E">
        <w:rPr>
          <w:rFonts w:eastAsia="Times New Roman" w:cstheme="minorHAnsi"/>
        </w:rPr>
        <w:t xml:space="preserve">before completing the work </w:t>
      </w:r>
      <w:r>
        <w:rPr>
          <w:rFonts w:eastAsia="Times New Roman" w:cstheme="minorHAnsi"/>
        </w:rPr>
        <w:t xml:space="preserve">they would be precluded </w:t>
      </w:r>
      <w:r w:rsidRPr="00F3770E">
        <w:rPr>
          <w:rFonts w:eastAsia="Times New Roman" w:cstheme="minorHAnsi"/>
        </w:rPr>
        <w:t xml:space="preserve">from obtaining </w:t>
      </w:r>
      <w:r w:rsidRPr="00440FC9">
        <w:rPr>
          <w:rFonts w:eastAsia="Times New Roman" w:cstheme="minorHAnsi"/>
        </w:rPr>
        <w:t xml:space="preserve">royalties. </w:t>
      </w:r>
      <w:r w:rsidRPr="00A637E4">
        <w:rPr>
          <w:rFonts w:eastAsia="Times New Roman" w:cs="Times New Roman"/>
          <w:szCs w:val="24"/>
        </w:rPr>
        <w:t xml:space="preserve">H.R. REP. </w:t>
      </w:r>
      <w:r w:rsidR="00904EAD">
        <w:rPr>
          <w:rFonts w:eastAsia="Times New Roman" w:cs="Times New Roman"/>
          <w:szCs w:val="24"/>
        </w:rPr>
        <w:t xml:space="preserve"> </w:t>
      </w:r>
      <w:proofErr w:type="gramStart"/>
      <w:r w:rsidR="00904EAD">
        <w:rPr>
          <w:rFonts w:eastAsia="Times New Roman" w:cs="Times New Roman"/>
          <w:szCs w:val="24"/>
        </w:rPr>
        <w:t xml:space="preserve">No. </w:t>
      </w:r>
      <w:r w:rsidRPr="00A637E4">
        <w:rPr>
          <w:rFonts w:eastAsia="Times New Roman" w:cs="Times New Roman"/>
          <w:szCs w:val="24"/>
        </w:rPr>
        <w:t>94-1476</w:t>
      </w:r>
      <w:r>
        <w:rPr>
          <w:rFonts w:eastAsia="Times New Roman" w:cs="Times New Roman"/>
          <w:szCs w:val="24"/>
        </w:rPr>
        <w:t xml:space="preserve"> at 76</w:t>
      </w:r>
      <w:r w:rsidR="00904EAD">
        <w:rPr>
          <w:rFonts w:eastAsia="Times New Roman" w:cs="Times New Roman"/>
          <w:szCs w:val="24"/>
        </w:rPr>
        <w:t xml:space="preserve"> (1976)</w:t>
      </w:r>
      <w:r>
        <w:rPr>
          <w:rFonts w:eastAsia="Times New Roman" w:cs="Times New Roman"/>
          <w:szCs w:val="24"/>
        </w:rPr>
        <w:t>.</w:t>
      </w:r>
      <w:proofErr w:type="gramEnd"/>
      <w:r>
        <w:rPr>
          <w:rFonts w:eastAsia="Times New Roman" w:cs="Times New Roman"/>
          <w:szCs w:val="24"/>
        </w:rPr>
        <w:t xml:space="preserve">  Based on these concerns, Congress purposefully excluded language that would require a signed contract before a commissioned work was created. </w:t>
      </w:r>
      <w:r w:rsidRPr="0091258C">
        <w:rPr>
          <w:rFonts w:eastAsia="Times New Roman" w:cs="Times New Roman"/>
          <w:i/>
          <w:szCs w:val="24"/>
        </w:rPr>
        <w:t>Id</w:t>
      </w:r>
      <w:r w:rsidR="00B70912">
        <w:rPr>
          <w:rFonts w:eastAsia="Times New Roman" w:cs="Times New Roman"/>
          <w:szCs w:val="24"/>
        </w:rPr>
        <w:t>.</w:t>
      </w:r>
    </w:p>
    <w:p w14:paraId="71F70501" w14:textId="77777777" w:rsidR="00BF7FF4" w:rsidRPr="006A03D5" w:rsidRDefault="00BF7FF4" w:rsidP="006A03D5">
      <w:pPr>
        <w:spacing w:after="240"/>
        <w:ind w:firstLine="720"/>
        <w:rPr>
          <w:rFonts w:eastAsia="Times New Roman" w:cs="Times New Roman"/>
          <w:i/>
          <w:szCs w:val="24"/>
        </w:rPr>
      </w:pPr>
      <w:r>
        <w:rPr>
          <w:rFonts w:eastAsia="Times New Roman" w:cs="Times New Roman"/>
          <w:szCs w:val="24"/>
        </w:rPr>
        <w:t>Publishers</w:t>
      </w:r>
      <w:r w:rsidR="002149EA">
        <w:rPr>
          <w:rFonts w:eastAsia="Times New Roman" w:cs="Times New Roman"/>
          <w:szCs w:val="24"/>
        </w:rPr>
        <w:t>,</w:t>
      </w:r>
      <w:r>
        <w:rPr>
          <w:rFonts w:eastAsia="Times New Roman" w:cs="Times New Roman"/>
          <w:szCs w:val="24"/>
        </w:rPr>
        <w:t xml:space="preserve"> on the other hand, sought to secure initial ownership rights over a wide scope of commissioned works. </w:t>
      </w:r>
      <w:r w:rsidR="00B70912" w:rsidRPr="00B13C65">
        <w:rPr>
          <w:rFonts w:eastAsia="Times New Roman" w:cs="Times New Roman"/>
          <w:i/>
          <w:szCs w:val="24"/>
        </w:rPr>
        <w:t xml:space="preserve">A Bill for General Revision of the Copyright Law: Hearing Before the </w:t>
      </w:r>
      <w:proofErr w:type="spellStart"/>
      <w:r w:rsidR="00B70912" w:rsidRPr="00B13C65">
        <w:rPr>
          <w:rFonts w:eastAsia="Times New Roman" w:cs="Times New Roman"/>
          <w:i/>
          <w:szCs w:val="24"/>
        </w:rPr>
        <w:t>Subcomm</w:t>
      </w:r>
      <w:proofErr w:type="spellEnd"/>
      <w:r w:rsidR="00B70912" w:rsidRPr="00B13C65">
        <w:rPr>
          <w:rFonts w:eastAsia="Times New Roman" w:cs="Times New Roman"/>
          <w:i/>
          <w:szCs w:val="24"/>
        </w:rPr>
        <w:t xml:space="preserve">. </w:t>
      </w:r>
      <w:proofErr w:type="gramStart"/>
      <w:r w:rsidR="00B70912" w:rsidRPr="00B13C65">
        <w:rPr>
          <w:rFonts w:eastAsia="Times New Roman" w:cs="Times New Roman"/>
          <w:i/>
          <w:szCs w:val="24"/>
        </w:rPr>
        <w:t>on</w:t>
      </w:r>
      <w:proofErr w:type="gramEnd"/>
      <w:r w:rsidR="00B70912" w:rsidRPr="00B13C65">
        <w:rPr>
          <w:rFonts w:eastAsia="Times New Roman" w:cs="Times New Roman"/>
          <w:i/>
          <w:szCs w:val="24"/>
        </w:rPr>
        <w:t xml:space="preserve"> Courts, Civil Liberties,</w:t>
      </w:r>
      <w:r w:rsidR="00B70912">
        <w:rPr>
          <w:rFonts w:eastAsia="Times New Roman" w:cs="Times New Roman"/>
          <w:i/>
          <w:szCs w:val="24"/>
        </w:rPr>
        <w:t xml:space="preserve"> </w:t>
      </w:r>
      <w:r w:rsidR="006A03D5">
        <w:rPr>
          <w:rFonts w:eastAsia="Times New Roman" w:cs="Times New Roman"/>
          <w:i/>
          <w:szCs w:val="24"/>
        </w:rPr>
        <w:t>and Admin.</w:t>
      </w:r>
      <w:r w:rsidR="00B70912" w:rsidRPr="00B13C65">
        <w:rPr>
          <w:rFonts w:eastAsia="Times New Roman" w:cs="Times New Roman"/>
          <w:i/>
          <w:szCs w:val="24"/>
        </w:rPr>
        <w:t xml:space="preserve"> </w:t>
      </w:r>
      <w:proofErr w:type="gramStart"/>
      <w:r w:rsidR="006A03D5">
        <w:rPr>
          <w:rFonts w:eastAsia="Times New Roman" w:cs="Times New Roman"/>
          <w:i/>
          <w:szCs w:val="24"/>
        </w:rPr>
        <w:t>o</w:t>
      </w:r>
      <w:r w:rsidR="00B70912" w:rsidRPr="00B13C65">
        <w:rPr>
          <w:rFonts w:eastAsia="Times New Roman" w:cs="Times New Roman"/>
          <w:i/>
          <w:szCs w:val="24"/>
        </w:rPr>
        <w:t>f</w:t>
      </w:r>
      <w:proofErr w:type="gramEnd"/>
      <w:r w:rsidR="00B70912" w:rsidRPr="00B13C65">
        <w:rPr>
          <w:rFonts w:eastAsia="Times New Roman" w:cs="Times New Roman"/>
          <w:i/>
          <w:szCs w:val="24"/>
        </w:rPr>
        <w:t xml:space="preserve"> Justice Comm. on the Judiciary</w:t>
      </w:r>
      <w:r w:rsidR="00B70912" w:rsidRPr="00B13C65">
        <w:rPr>
          <w:rFonts w:eastAsia="Times New Roman" w:cs="Times New Roman"/>
          <w:szCs w:val="24"/>
        </w:rPr>
        <w:t xml:space="preserve">, </w:t>
      </w:r>
      <w:r w:rsidR="00B70912">
        <w:rPr>
          <w:rFonts w:eastAsia="Times New Roman" w:cs="Times New Roman"/>
          <w:szCs w:val="24"/>
        </w:rPr>
        <w:t>94th Cong. 98-99</w:t>
      </w:r>
      <w:r w:rsidR="00B70912" w:rsidRPr="00B13C65">
        <w:rPr>
          <w:rFonts w:eastAsia="Times New Roman" w:cs="Times New Roman"/>
          <w:szCs w:val="24"/>
        </w:rPr>
        <w:t xml:space="preserve"> (1998)</w:t>
      </w:r>
      <w:r w:rsidR="004452C4">
        <w:rPr>
          <w:rFonts w:eastAsia="Times New Roman" w:cs="Times New Roman"/>
          <w:szCs w:val="24"/>
        </w:rPr>
        <w:t xml:space="preserve"> </w:t>
      </w:r>
      <w:r w:rsidR="00B70912" w:rsidRPr="00B13C65">
        <w:rPr>
          <w:rFonts w:eastAsia="Times New Roman" w:cs="Times New Roman"/>
          <w:szCs w:val="24"/>
        </w:rPr>
        <w:t>(statement of  Barbara Ringer, Register of Copyrights on H.R. 222</w:t>
      </w:r>
      <w:r w:rsidR="00B70912">
        <w:rPr>
          <w:rFonts w:eastAsia="Times New Roman" w:cs="Times New Roman"/>
          <w:szCs w:val="24"/>
        </w:rPr>
        <w:t>3)</w:t>
      </w:r>
      <w:r>
        <w:rPr>
          <w:rFonts w:eastAsia="Times New Roman" w:cs="Times New Roman"/>
          <w:szCs w:val="24"/>
        </w:rPr>
        <w:t>. Book publishers argued that the same policy considerations dictating works-made-</w:t>
      </w:r>
      <w:r w:rsidR="00B70912">
        <w:rPr>
          <w:rFonts w:eastAsia="Times New Roman" w:cs="Times New Roman"/>
          <w:szCs w:val="24"/>
        </w:rPr>
        <w:t xml:space="preserve">for-hire should be applied to a great </w:t>
      </w:r>
      <w:r>
        <w:rPr>
          <w:rFonts w:eastAsia="Times New Roman" w:cs="Times New Roman"/>
          <w:szCs w:val="24"/>
        </w:rPr>
        <w:t>number of works prepared at the instance, direction, and r</w:t>
      </w:r>
      <w:r w:rsidR="00B70912">
        <w:rPr>
          <w:rFonts w:eastAsia="Times New Roman" w:cs="Times New Roman"/>
          <w:szCs w:val="24"/>
        </w:rPr>
        <w:t>isk of the publisher</w:t>
      </w:r>
      <w:r w:rsidR="00904EAD">
        <w:rPr>
          <w:rFonts w:eastAsia="Times New Roman" w:cs="Times New Roman"/>
          <w:szCs w:val="24"/>
        </w:rPr>
        <w:t xml:space="preserve"> because</w:t>
      </w:r>
      <w:r>
        <w:rPr>
          <w:rFonts w:eastAsia="Times New Roman" w:cs="Times New Roman"/>
          <w:szCs w:val="24"/>
        </w:rPr>
        <w:t xml:space="preserve">, “. . . it would be unfair to allow authors to terminate assignments of rights.” </w:t>
      </w:r>
      <w:r w:rsidRPr="00F400ED">
        <w:rPr>
          <w:rFonts w:eastAsia="Times New Roman" w:cs="Times New Roman"/>
          <w:i/>
          <w:szCs w:val="24"/>
        </w:rPr>
        <w:t>Id.</w:t>
      </w:r>
      <w:r>
        <w:rPr>
          <w:rFonts w:eastAsia="Times New Roman" w:cs="Times New Roman"/>
          <w:szCs w:val="24"/>
        </w:rPr>
        <w:t xml:space="preserve"> </w:t>
      </w:r>
    </w:p>
    <w:p w14:paraId="2C87F4F2" w14:textId="77777777" w:rsidR="004655A5" w:rsidRDefault="00BF7FF4" w:rsidP="00BF7FF4">
      <w:pPr>
        <w:spacing w:after="240"/>
        <w:ind w:firstLine="720"/>
        <w:rPr>
          <w:rFonts w:eastAsia="Times New Roman" w:cs="Times New Roman"/>
          <w:szCs w:val="24"/>
        </w:rPr>
      </w:pPr>
      <w:r>
        <w:rPr>
          <w:rFonts w:eastAsia="Times New Roman" w:cs="Times New Roman"/>
          <w:szCs w:val="24"/>
        </w:rPr>
        <w:lastRenderedPageBreak/>
        <w:t xml:space="preserve">Congress found that ensuring clarity in ownership rights would be best achieved by vesting initial ownership rights in the </w:t>
      </w:r>
      <w:r w:rsidRPr="00EA4982">
        <w:rPr>
          <w:rFonts w:eastAsia="Times New Roman" w:cs="Times New Roman"/>
          <w:szCs w:val="24"/>
        </w:rPr>
        <w:t xml:space="preserve">employer </w:t>
      </w:r>
      <w:r>
        <w:rPr>
          <w:rFonts w:eastAsia="Times New Roman" w:cs="Times New Roman"/>
          <w:szCs w:val="24"/>
        </w:rPr>
        <w:t>while requiring parties to later execute a written instrument agreeing that the commissioned work shall be considered for-hire</w:t>
      </w:r>
      <w:r w:rsidR="003121A3">
        <w:rPr>
          <w:rFonts w:eastAsia="Times New Roman" w:cs="Times New Roman"/>
          <w:szCs w:val="24"/>
        </w:rPr>
        <w:t xml:space="preserve">] unless your source included timing, I would probably leave it out of this sentence because the point you are trying to make is that the agreement must be made and when it is reduced to writing is irrelevant, not that the writing </w:t>
      </w:r>
      <w:r w:rsidR="003121A3">
        <w:rPr>
          <w:rFonts w:eastAsia="Times New Roman" w:cs="Times New Roman"/>
          <w:i/>
          <w:szCs w:val="24"/>
        </w:rPr>
        <w:t>must</w:t>
      </w:r>
      <w:r w:rsidR="003121A3">
        <w:rPr>
          <w:rFonts w:eastAsia="Times New Roman" w:cs="Times New Roman"/>
          <w:szCs w:val="24"/>
        </w:rPr>
        <w:t xml:space="preserve"> be signed after creation of the work</w:t>
      </w:r>
      <w:r>
        <w:rPr>
          <w:rFonts w:eastAsia="Times New Roman" w:cs="Times New Roman"/>
          <w:szCs w:val="24"/>
        </w:rPr>
        <w:t xml:space="preserve"> pursuant to 17 U.S.C. § 101. </w:t>
      </w:r>
      <w:r w:rsidRPr="007B13C5">
        <w:rPr>
          <w:rFonts w:eastAsia="Times New Roman" w:cs="Times New Roman"/>
          <w:i/>
          <w:szCs w:val="24"/>
        </w:rPr>
        <w:t>Id.</w:t>
      </w:r>
      <w:r>
        <w:rPr>
          <w:rFonts w:eastAsia="Times New Roman" w:cs="Times New Roman"/>
          <w:szCs w:val="24"/>
        </w:rPr>
        <w:t xml:space="preserve"> </w:t>
      </w:r>
      <w:r w:rsidR="005D66FF">
        <w:rPr>
          <w:rFonts w:eastAsia="Times New Roman" w:cs="Times New Roman"/>
          <w:szCs w:val="24"/>
        </w:rPr>
        <w:t xml:space="preserve">In this way, the final compromise between the rights of authors and publishers was for a written agreement to be executed and </w:t>
      </w:r>
      <w:r w:rsidR="004655A5">
        <w:rPr>
          <w:rFonts w:eastAsia="Times New Roman" w:cs="Times New Roman"/>
          <w:szCs w:val="24"/>
        </w:rPr>
        <w:t xml:space="preserve">not for </w:t>
      </w:r>
      <w:r w:rsidR="005D66FF">
        <w:rPr>
          <w:rFonts w:eastAsia="Times New Roman" w:cs="Times New Roman"/>
          <w:szCs w:val="24"/>
        </w:rPr>
        <w:t xml:space="preserve">the parties to be limited in their rights based on </w:t>
      </w:r>
      <w:r w:rsidR="004655A5">
        <w:rPr>
          <w:rFonts w:eastAsia="Times New Roman" w:cs="Times New Roman"/>
          <w:szCs w:val="24"/>
        </w:rPr>
        <w:t xml:space="preserve">the </w:t>
      </w:r>
      <w:r w:rsidR="005D66FF">
        <w:rPr>
          <w:rFonts w:eastAsia="Times New Roman" w:cs="Times New Roman"/>
          <w:szCs w:val="24"/>
        </w:rPr>
        <w:t>timing</w:t>
      </w:r>
      <w:r w:rsidR="004655A5">
        <w:rPr>
          <w:rFonts w:eastAsia="Times New Roman" w:cs="Times New Roman"/>
          <w:szCs w:val="24"/>
        </w:rPr>
        <w:t xml:space="preserve"> of said agreement</w:t>
      </w:r>
      <w:r w:rsidR="005D66FF">
        <w:rPr>
          <w:rFonts w:eastAsia="Times New Roman" w:cs="Times New Roman"/>
          <w:szCs w:val="24"/>
        </w:rPr>
        <w:t>.</w:t>
      </w:r>
      <w:r>
        <w:rPr>
          <w:rFonts w:eastAsia="Times New Roman" w:cs="Times New Roman"/>
          <w:szCs w:val="24"/>
        </w:rPr>
        <w:t xml:space="preserve"> </w:t>
      </w:r>
      <w:proofErr w:type="gramStart"/>
      <w:r w:rsidRPr="006017A9">
        <w:rPr>
          <w:rFonts w:eastAsia="Times New Roman" w:cs="Times New Roman"/>
          <w:i/>
          <w:szCs w:val="24"/>
        </w:rPr>
        <w:t>Id.</w:t>
      </w:r>
      <w:r w:rsidR="004655A5">
        <w:rPr>
          <w:rFonts w:eastAsia="Times New Roman" w:cs="Times New Roman"/>
          <w:szCs w:val="24"/>
        </w:rPr>
        <w:t xml:space="preserve"> at 101.</w:t>
      </w:r>
      <w:proofErr w:type="gramEnd"/>
      <w:r w:rsidR="004655A5">
        <w:rPr>
          <w:rFonts w:eastAsia="Times New Roman" w:cs="Times New Roman"/>
          <w:szCs w:val="24"/>
        </w:rPr>
        <w:t xml:space="preserve"> </w:t>
      </w:r>
    </w:p>
    <w:p w14:paraId="76CCABDF" w14:textId="77777777" w:rsidR="00437096" w:rsidRDefault="00BF7FF4" w:rsidP="00206399">
      <w:pPr>
        <w:spacing w:after="240"/>
        <w:ind w:firstLine="720"/>
        <w:rPr>
          <w:rFonts w:eastAsia="Times New Roman" w:cstheme="minorHAnsi"/>
        </w:rPr>
      </w:pPr>
      <w:r>
        <w:rPr>
          <w:rFonts w:eastAsia="Times New Roman" w:cs="Times New Roman"/>
          <w:szCs w:val="24"/>
        </w:rPr>
        <w:t>Once established that a work shall be considered for hire</w:t>
      </w:r>
      <w:r w:rsidR="005D66FF">
        <w:rPr>
          <w:rFonts w:eastAsia="Times New Roman" w:cs="Times New Roman"/>
          <w:szCs w:val="24"/>
        </w:rPr>
        <w:t xml:space="preserve"> per written agreement</w:t>
      </w:r>
      <w:r>
        <w:rPr>
          <w:rFonts w:eastAsia="Times New Roman" w:cs="Times New Roman"/>
          <w:szCs w:val="24"/>
        </w:rPr>
        <w:t>, the rights of both parties were protected.</w:t>
      </w:r>
      <w:r w:rsidR="009C6555">
        <w:rPr>
          <w:rFonts w:eastAsia="Times New Roman" w:cs="Times New Roman"/>
          <w:szCs w:val="24"/>
        </w:rPr>
        <w:t xml:space="preserve"> S. Rep. No.</w:t>
      </w:r>
      <w:r w:rsidR="009C6555" w:rsidRPr="00F3770E">
        <w:rPr>
          <w:rFonts w:eastAsia="Times New Roman" w:cs="Times New Roman"/>
          <w:szCs w:val="24"/>
        </w:rPr>
        <w:t xml:space="preserve"> 94-473, 1975 WL 370213, 21</w:t>
      </w:r>
      <w:r w:rsidR="009C6555">
        <w:rPr>
          <w:rFonts w:eastAsia="Times New Roman" w:cs="Times New Roman"/>
          <w:szCs w:val="24"/>
        </w:rPr>
        <w:t>.</w:t>
      </w:r>
      <w:r>
        <w:rPr>
          <w:rFonts w:eastAsia="Times New Roman" w:cs="Times New Roman"/>
          <w:szCs w:val="24"/>
        </w:rPr>
        <w:t xml:space="preserve">Congress noted, </w:t>
      </w:r>
      <w:r w:rsidRPr="00A874B6">
        <w:rPr>
          <w:rFonts w:cs="Times New Roman"/>
          <w:b/>
          <w:bCs/>
          <w:szCs w:val="24"/>
        </w:rPr>
        <w:t>“</w:t>
      </w:r>
      <w:r>
        <w:rPr>
          <w:rFonts w:eastAsia="Times New Roman" w:cs="Times New Roman"/>
          <w:szCs w:val="24"/>
        </w:rPr>
        <w:t>[T]</w:t>
      </w:r>
      <w:r w:rsidRPr="00F3770E">
        <w:rPr>
          <w:rFonts w:eastAsia="Times New Roman" w:cs="Times New Roman"/>
          <w:szCs w:val="24"/>
        </w:rPr>
        <w:t>he employer or other persons for whom the work was prepared is considered the author for purposes of this title, and, unless the parties have expressly agreed otherwise in a written instrument signed by them, owns all of the rights comprised in the copyright.</w:t>
      </w:r>
      <w:r>
        <w:rPr>
          <w:rFonts w:eastAsia="Times New Roman" w:cs="Times New Roman"/>
          <w:szCs w:val="24"/>
        </w:rPr>
        <w:t xml:space="preserve">” </w:t>
      </w:r>
      <w:r w:rsidR="009C6555" w:rsidRPr="009C6555">
        <w:rPr>
          <w:rFonts w:eastAsia="Times New Roman" w:cs="Times New Roman"/>
          <w:i/>
          <w:szCs w:val="24"/>
        </w:rPr>
        <w:t>Id</w:t>
      </w:r>
      <w:r w:rsidR="009C6555">
        <w:rPr>
          <w:rFonts w:eastAsia="Times New Roman" w:cs="Times New Roman"/>
          <w:szCs w:val="24"/>
        </w:rPr>
        <w:t xml:space="preserve">. </w:t>
      </w:r>
      <w:r w:rsidR="004655A5">
        <w:rPr>
          <w:rFonts w:eastAsia="Times New Roman" w:cs="Times New Roman"/>
          <w:szCs w:val="24"/>
        </w:rPr>
        <w:t>In sum</w:t>
      </w:r>
      <w:r>
        <w:rPr>
          <w:rFonts w:eastAsia="Times New Roman" w:cs="Times New Roman"/>
          <w:szCs w:val="24"/>
        </w:rPr>
        <w:t xml:space="preserve">, </w:t>
      </w:r>
      <w:r w:rsidR="004655A5">
        <w:rPr>
          <w:rFonts w:eastAsia="Times New Roman" w:cs="Times New Roman"/>
          <w:szCs w:val="24"/>
        </w:rPr>
        <w:t>the writing requirement</w:t>
      </w:r>
      <w:r w:rsidR="004452C4">
        <w:rPr>
          <w:rFonts w:eastAsia="Times New Roman" w:cs="Times New Roman"/>
          <w:szCs w:val="24"/>
        </w:rPr>
        <w:t>,</w:t>
      </w:r>
      <w:r w:rsidR="004655A5">
        <w:rPr>
          <w:rFonts w:eastAsia="Times New Roman" w:cs="Times New Roman"/>
          <w:szCs w:val="24"/>
        </w:rPr>
        <w:t xml:space="preserve"> and not a timing constraint</w:t>
      </w:r>
      <w:r w:rsidR="004452C4">
        <w:rPr>
          <w:rFonts w:eastAsia="Times New Roman" w:cs="Times New Roman"/>
          <w:szCs w:val="24"/>
        </w:rPr>
        <w:t>,</w:t>
      </w:r>
      <w:r w:rsidR="004655A5">
        <w:rPr>
          <w:rFonts w:eastAsia="Times New Roman" w:cs="Times New Roman"/>
          <w:szCs w:val="24"/>
        </w:rPr>
        <w:t xml:space="preserve"> was the compromise that awarded </w:t>
      </w:r>
      <w:r>
        <w:rPr>
          <w:rFonts w:eastAsia="Times New Roman" w:cs="Times New Roman"/>
          <w:szCs w:val="24"/>
        </w:rPr>
        <w:t xml:space="preserve">publishers protection for the assumption of risk and authors </w:t>
      </w:r>
      <w:r w:rsidR="004655A5">
        <w:rPr>
          <w:rFonts w:eastAsia="Times New Roman" w:cs="Times New Roman"/>
          <w:szCs w:val="24"/>
        </w:rPr>
        <w:t xml:space="preserve">the right to </w:t>
      </w:r>
      <w:r>
        <w:rPr>
          <w:rFonts w:eastAsia="Times New Roman" w:cs="Times New Roman"/>
          <w:szCs w:val="24"/>
        </w:rPr>
        <w:t xml:space="preserve">contractually reserve rights to their work. </w:t>
      </w:r>
      <w:r w:rsidR="004655A5">
        <w:rPr>
          <w:rFonts w:eastAsia="Times New Roman" w:cs="Times New Roman"/>
          <w:i/>
          <w:szCs w:val="24"/>
        </w:rPr>
        <w:t>Id.</w:t>
      </w:r>
    </w:p>
    <w:p w14:paraId="24EA808D" w14:textId="77777777" w:rsidR="004434E4" w:rsidRPr="004434E4" w:rsidRDefault="00BF7FF4" w:rsidP="00904EAD">
      <w:pPr>
        <w:spacing w:after="240"/>
        <w:ind w:firstLine="720"/>
        <w:rPr>
          <w:rFonts w:eastAsia="Times New Roman" w:cs="Times New Roman"/>
          <w:szCs w:val="24"/>
        </w:rPr>
      </w:pPr>
      <w:r>
        <w:rPr>
          <w:rFonts w:eastAsia="Times New Roman" w:cstheme="minorHAnsi"/>
        </w:rPr>
        <w:t xml:space="preserve">When establishing legislative intent, Congress may seek counsel from </w:t>
      </w:r>
      <w:r w:rsidRPr="00EA4982">
        <w:rPr>
          <w:rFonts w:eastAsia="Times New Roman" w:cstheme="minorHAnsi"/>
        </w:rPr>
        <w:t xml:space="preserve">an administrative agency or an executive office </w:t>
      </w:r>
      <w:r>
        <w:rPr>
          <w:rFonts w:eastAsia="Times New Roman" w:cstheme="minorHAnsi"/>
        </w:rPr>
        <w:t xml:space="preserve">because </w:t>
      </w:r>
      <w:r w:rsidR="000D1D2C">
        <w:rPr>
          <w:rFonts w:eastAsia="Times New Roman" w:cstheme="minorHAnsi"/>
        </w:rPr>
        <w:t>the presumption is that these</w:t>
      </w:r>
      <w:r>
        <w:rPr>
          <w:rFonts w:eastAsia="Times New Roman" w:cstheme="minorHAnsi"/>
        </w:rPr>
        <w:t xml:space="preserve"> organization</w:t>
      </w:r>
      <w:r w:rsidR="000D1D2C">
        <w:rPr>
          <w:rFonts w:eastAsia="Times New Roman" w:cstheme="minorHAnsi"/>
        </w:rPr>
        <w:t>s</w:t>
      </w:r>
      <w:r>
        <w:rPr>
          <w:rFonts w:eastAsia="Times New Roman" w:cstheme="minorHAnsi"/>
        </w:rPr>
        <w:t xml:space="preserve"> gain legal expertise in the</w:t>
      </w:r>
      <w:r w:rsidRPr="00EA4982">
        <w:rPr>
          <w:rFonts w:eastAsia="Times New Roman" w:cstheme="minorHAnsi"/>
        </w:rPr>
        <w:t xml:space="preserve"> area </w:t>
      </w:r>
      <w:r w:rsidR="000D1D2C">
        <w:rPr>
          <w:rFonts w:eastAsia="Times New Roman" w:cstheme="minorHAnsi"/>
        </w:rPr>
        <w:t>they regularly deal</w:t>
      </w:r>
      <w:r w:rsidRPr="00EA4982">
        <w:rPr>
          <w:rFonts w:eastAsia="Times New Roman" w:cstheme="minorHAnsi"/>
        </w:rPr>
        <w:t>.</w:t>
      </w:r>
      <w:r w:rsidR="000D1D2C">
        <w:rPr>
          <w:rFonts w:eastAsia="Times New Roman" w:cstheme="minorHAnsi"/>
        </w:rPr>
        <w:t xml:space="preserve"> </w:t>
      </w:r>
      <w:r w:rsidR="000D1D2C" w:rsidRPr="000D1D2C">
        <w:rPr>
          <w:rFonts w:eastAsia="Times New Roman" w:cstheme="minorHAnsi"/>
          <w:i/>
        </w:rPr>
        <w:t>See Chevron v. Natural Res. Def. Council, Inc.</w:t>
      </w:r>
      <w:r w:rsidR="000D1D2C">
        <w:rPr>
          <w:rFonts w:eastAsia="Times New Roman" w:cstheme="minorHAnsi"/>
        </w:rPr>
        <w:t>, 467 U.S. 837, 842-45 (1984).</w:t>
      </w:r>
      <w:r w:rsidRPr="00EA4982">
        <w:rPr>
          <w:rFonts w:eastAsia="Times New Roman" w:cstheme="minorHAnsi"/>
        </w:rPr>
        <w:t xml:space="preserve"> In the case of works-for-hire, the corresponding administrative agency is the Office of Copyrights. </w:t>
      </w:r>
      <w:r w:rsidR="00CB3219" w:rsidRPr="002A2FC6">
        <w:rPr>
          <w:rFonts w:eastAsia="Times New Roman" w:cs="Times New Roman"/>
          <w:szCs w:val="24"/>
        </w:rPr>
        <w:t xml:space="preserve">Barbara Ringer, </w:t>
      </w:r>
      <w:r w:rsidR="00CB3219" w:rsidRPr="0040143A">
        <w:rPr>
          <w:rFonts w:eastAsia="Times New Roman" w:cs="Times New Roman"/>
          <w:szCs w:val="24"/>
        </w:rPr>
        <w:t>Register</w:t>
      </w:r>
      <w:r w:rsidR="00CB3219">
        <w:rPr>
          <w:rFonts w:eastAsia="Times New Roman" w:cs="Times New Roman"/>
          <w:szCs w:val="24"/>
        </w:rPr>
        <w:t xml:space="preserve"> of Copyrights noted that a </w:t>
      </w:r>
      <w:r w:rsidR="00CB3219" w:rsidRPr="002A2FC6">
        <w:rPr>
          <w:rFonts w:eastAsia="Times New Roman" w:cs="Times New Roman"/>
          <w:szCs w:val="24"/>
        </w:rPr>
        <w:t xml:space="preserve">commissioned work “would not be considered ‘a work made for hire’ (under §101(2)) if the contract were </w:t>
      </w:r>
      <w:r w:rsidR="00CB3219" w:rsidRPr="002A2FC6">
        <w:rPr>
          <w:rFonts w:eastAsia="Times New Roman" w:cs="Times New Roman"/>
          <w:szCs w:val="24"/>
        </w:rPr>
        <w:lastRenderedPageBreak/>
        <w:t>signed later on -- after the work was written, for example.”</w:t>
      </w:r>
      <w:r w:rsidR="00CB3219">
        <w:rPr>
          <w:rFonts w:eastAsia="Times New Roman" w:cs="Times New Roman"/>
          <w:szCs w:val="24"/>
        </w:rPr>
        <w:t xml:space="preserve"> </w:t>
      </w:r>
      <w:proofErr w:type="gramStart"/>
      <w:r w:rsidR="004434E4" w:rsidRPr="004434E4">
        <w:rPr>
          <w:rFonts w:eastAsia="Times New Roman" w:cs="Times New Roman"/>
          <w:i/>
          <w:iCs/>
          <w:szCs w:val="24"/>
        </w:rPr>
        <w:t>COPYRIGHT LAW REVISION, Part 5; House Committee Print,</w:t>
      </w:r>
      <w:r w:rsidR="004434E4" w:rsidRPr="004434E4">
        <w:rPr>
          <w:rFonts w:eastAsia="Times New Roman" w:cs="Times New Roman"/>
          <w:szCs w:val="24"/>
        </w:rPr>
        <w:t xml:space="preserve"> [89th Congress, 1st Session (September 1965)], at 37, 145.</w:t>
      </w:r>
      <w:proofErr w:type="gramEnd"/>
    </w:p>
    <w:p w14:paraId="5352627C" w14:textId="77777777" w:rsidR="001A5DAF" w:rsidRDefault="00E4130D" w:rsidP="001A5DAF">
      <w:pPr>
        <w:spacing w:after="240"/>
        <w:ind w:firstLine="720"/>
        <w:rPr>
          <w:rFonts w:eastAsia="Times New Roman" w:cstheme="minorHAnsi"/>
        </w:rPr>
      </w:pPr>
      <w:r>
        <w:rPr>
          <w:rFonts w:eastAsia="Times New Roman" w:cstheme="minorHAnsi"/>
        </w:rPr>
        <w:t>It may be contended that</w:t>
      </w:r>
      <w:r w:rsidR="00BF7FF4" w:rsidRPr="00EA4982">
        <w:rPr>
          <w:rFonts w:eastAsia="Times New Roman" w:cstheme="minorHAnsi"/>
        </w:rPr>
        <w:t xml:space="preserve">, “the executive or agency interpretation </w:t>
      </w:r>
      <w:r>
        <w:rPr>
          <w:rFonts w:eastAsia="Times New Roman" w:cstheme="minorHAnsi"/>
        </w:rPr>
        <w:t>should be</w:t>
      </w:r>
      <w:r w:rsidR="00BF7FF4" w:rsidRPr="00EA4982">
        <w:rPr>
          <w:rFonts w:eastAsia="Times New Roman" w:cstheme="minorHAnsi"/>
        </w:rPr>
        <w:t xml:space="preserve"> treated as persuasive authority.”</w:t>
      </w:r>
      <w:r>
        <w:rPr>
          <w:rFonts w:eastAsia="Times New Roman" w:cstheme="minorHAnsi"/>
        </w:rPr>
        <w:t xml:space="preserve"> </w:t>
      </w:r>
      <w:proofErr w:type="gramStart"/>
      <w:r w:rsidRPr="00EA4982">
        <w:rPr>
          <w:rFonts w:eastAsia="Times New Roman" w:cstheme="minorHAnsi"/>
          <w:i/>
        </w:rPr>
        <w:t>Skidmore v. Swift &amp; Co.</w:t>
      </w:r>
      <w:r w:rsidRPr="00EA4982">
        <w:rPr>
          <w:rFonts w:eastAsia="Times New Roman" w:cstheme="minorHAnsi"/>
        </w:rPr>
        <w:t>, 323 U.S. 134, 140 (1944)</w:t>
      </w:r>
      <w:r>
        <w:rPr>
          <w:rFonts w:eastAsia="Times New Roman" w:cstheme="minorHAnsi"/>
        </w:rPr>
        <w:t>.</w:t>
      </w:r>
      <w:proofErr w:type="gramEnd"/>
      <w:r>
        <w:rPr>
          <w:rFonts w:eastAsia="Times New Roman" w:cstheme="minorHAnsi"/>
        </w:rPr>
        <w:t xml:space="preserve"> However, s</w:t>
      </w:r>
      <w:r w:rsidR="00BF7FF4" w:rsidRPr="00EA4982">
        <w:rPr>
          <w:rFonts w:eastAsia="Times New Roman" w:cstheme="minorHAnsi"/>
        </w:rPr>
        <w:t>ince agency inter</w:t>
      </w:r>
      <w:r>
        <w:rPr>
          <w:rFonts w:eastAsia="Times New Roman" w:cstheme="minorHAnsi"/>
        </w:rPr>
        <w:t>pretation is merely persuasive</w:t>
      </w:r>
      <w:r w:rsidR="00BF7FF4" w:rsidRPr="00EA4982">
        <w:rPr>
          <w:rFonts w:eastAsia="Times New Roman" w:cstheme="minorHAnsi"/>
        </w:rPr>
        <w:t xml:space="preserve">, the court may review it more critically and consider “the thoroughness of the executive or agency action, the quality of its reasoning, and other factors that would make it persuasive,” </w:t>
      </w:r>
      <w:r w:rsidR="00BF7FF4" w:rsidRPr="00EA4982">
        <w:rPr>
          <w:rFonts w:eastAsia="Times New Roman" w:cstheme="minorHAnsi"/>
          <w:i/>
        </w:rPr>
        <w:t>Gonzales v. Oregon</w:t>
      </w:r>
      <w:r w:rsidR="00BF7FF4" w:rsidRPr="00EA4982">
        <w:rPr>
          <w:rFonts w:eastAsia="Times New Roman" w:cstheme="minorHAnsi"/>
        </w:rPr>
        <w:t xml:space="preserve">, 546 U.S. 243, 268 (2006). </w:t>
      </w:r>
      <w:r>
        <w:rPr>
          <w:rFonts w:eastAsia="Times New Roman" w:cstheme="minorHAnsi"/>
        </w:rPr>
        <w:t>B</w:t>
      </w:r>
      <w:r w:rsidR="00BF7FF4">
        <w:rPr>
          <w:rFonts w:eastAsia="Times New Roman" w:cs="Times New Roman"/>
          <w:szCs w:val="24"/>
        </w:rPr>
        <w:t xml:space="preserve">y applying the standard of deference outlined in </w:t>
      </w:r>
      <w:r w:rsidR="00BF7FF4" w:rsidRPr="00EA4982">
        <w:rPr>
          <w:rFonts w:eastAsia="Times New Roman" w:cs="Times New Roman"/>
          <w:i/>
          <w:szCs w:val="24"/>
        </w:rPr>
        <w:t>Gonzales</w:t>
      </w:r>
      <w:r>
        <w:rPr>
          <w:rFonts w:eastAsia="Times New Roman" w:cs="Times New Roman"/>
          <w:i/>
          <w:szCs w:val="24"/>
        </w:rPr>
        <w:t>,</w:t>
      </w:r>
      <w:r>
        <w:rPr>
          <w:rFonts w:eastAsia="Times New Roman" w:cs="Times New Roman"/>
          <w:szCs w:val="24"/>
        </w:rPr>
        <w:t xml:space="preserve"> the Register of Copyright’s</w:t>
      </w:r>
      <w:r w:rsidR="00BF7FF4">
        <w:rPr>
          <w:rFonts w:eastAsia="Times New Roman" w:cs="Times New Roman"/>
          <w:szCs w:val="24"/>
        </w:rPr>
        <w:t xml:space="preserve"> argument fails</w:t>
      </w:r>
      <w:r>
        <w:rPr>
          <w:rFonts w:eastAsia="Times New Roman" w:cs="Times New Roman"/>
          <w:szCs w:val="24"/>
        </w:rPr>
        <w:t xml:space="preserve"> on the level of persuasiveness</w:t>
      </w:r>
      <w:r w:rsidR="00CB3219">
        <w:rPr>
          <w:rFonts w:eastAsia="Times New Roman" w:cs="Times New Roman"/>
          <w:szCs w:val="24"/>
        </w:rPr>
        <w:t>.</w:t>
      </w:r>
      <w:r w:rsidR="00BF7FF4">
        <w:rPr>
          <w:rFonts w:eastAsia="Times New Roman" w:cs="Times New Roman"/>
          <w:szCs w:val="24"/>
        </w:rPr>
        <w:t xml:space="preserve"> </w:t>
      </w:r>
      <w:r w:rsidR="00CB3219">
        <w:rPr>
          <w:rFonts w:eastAsia="Times New Roman" w:cs="Times New Roman"/>
          <w:szCs w:val="24"/>
        </w:rPr>
        <w:t>No</w:t>
      </w:r>
      <w:r w:rsidR="00BF7FF4">
        <w:rPr>
          <w:rFonts w:eastAsia="Times New Roman" w:cs="Times New Roman"/>
          <w:szCs w:val="24"/>
        </w:rPr>
        <w:t xml:space="preserve"> justification for </w:t>
      </w:r>
      <w:r w:rsidR="00CB3219">
        <w:rPr>
          <w:rFonts w:eastAsia="Times New Roman" w:cs="Times New Roman"/>
          <w:szCs w:val="24"/>
        </w:rPr>
        <w:t>a</w:t>
      </w:r>
      <w:r w:rsidR="00BF7FF4">
        <w:rPr>
          <w:rFonts w:eastAsia="Times New Roman" w:cs="Times New Roman"/>
          <w:szCs w:val="24"/>
        </w:rPr>
        <w:t xml:space="preserve"> pre-creation requirement </w:t>
      </w:r>
      <w:r w:rsidR="00CB3219">
        <w:rPr>
          <w:rFonts w:eastAsia="Times New Roman" w:cs="Times New Roman"/>
          <w:szCs w:val="24"/>
        </w:rPr>
        <w:t xml:space="preserve">is given </w:t>
      </w:r>
      <w:r w:rsidR="00BF7FF4">
        <w:rPr>
          <w:rFonts w:eastAsia="Times New Roman" w:cs="Times New Roman"/>
          <w:szCs w:val="24"/>
        </w:rPr>
        <w:t xml:space="preserve">other than for the sake of establishing a bright-line rule. Consequently, agency deference is less than persuasive and should be limited.  </w:t>
      </w:r>
      <w:r w:rsidR="00F45D1B">
        <w:rPr>
          <w:rFonts w:eastAsia="Times New Roman" w:cs="Times New Roman"/>
          <w:szCs w:val="24"/>
        </w:rPr>
        <w:t xml:space="preserve">Furthermore, since the interpretation of the statute involves legislative silence, it is not within the power of an agency to </w:t>
      </w:r>
      <w:r w:rsidR="001A5DAF">
        <w:rPr>
          <w:rFonts w:eastAsia="Times New Roman" w:cs="Times New Roman"/>
          <w:szCs w:val="24"/>
        </w:rPr>
        <w:t xml:space="preserve">fill in a gap left by Congress. </w:t>
      </w:r>
      <w:r w:rsidR="001A5DAF" w:rsidRPr="001A5DAF">
        <w:rPr>
          <w:rFonts w:eastAsia="Times New Roman" w:cs="Times New Roman"/>
          <w:i/>
          <w:szCs w:val="24"/>
        </w:rPr>
        <w:t>See Addison v. Holly Hill Fruit Prod.</w:t>
      </w:r>
      <w:r w:rsidR="001A5DAF">
        <w:rPr>
          <w:rFonts w:eastAsia="Times New Roman" w:cs="Times New Roman"/>
          <w:szCs w:val="24"/>
        </w:rPr>
        <w:t>, 322 U.S. 607, 615 (1944).</w:t>
      </w:r>
    </w:p>
    <w:p w14:paraId="1A9910E8" w14:textId="77777777" w:rsidR="00BF7FF4" w:rsidRPr="001A5DAF" w:rsidRDefault="00B04ADE" w:rsidP="001A5DAF">
      <w:pPr>
        <w:spacing w:after="240"/>
        <w:ind w:firstLine="720"/>
        <w:rPr>
          <w:rFonts w:eastAsia="Times New Roman" w:cstheme="minorHAnsi"/>
        </w:rPr>
      </w:pPr>
      <w:r>
        <w:rPr>
          <w:rFonts w:eastAsia="Times New Roman" w:cstheme="minorHAnsi"/>
        </w:rPr>
        <w:t xml:space="preserve">In </w:t>
      </w:r>
      <w:r w:rsidR="001D07A8">
        <w:rPr>
          <w:rFonts w:eastAsia="Times New Roman" w:cstheme="minorHAnsi"/>
        </w:rPr>
        <w:t>brief</w:t>
      </w:r>
      <w:r>
        <w:rPr>
          <w:rFonts w:eastAsia="Times New Roman" w:cstheme="minorHAnsi"/>
        </w:rPr>
        <w:t>, t</w:t>
      </w:r>
      <w:r w:rsidR="00BF7FF4">
        <w:rPr>
          <w:rFonts w:eastAsia="Times New Roman" w:cstheme="minorHAnsi"/>
        </w:rPr>
        <w:t xml:space="preserve">he concerns that Congress addressed from both publishers and authors led to the drafting of a statute that balances each </w:t>
      </w:r>
      <w:r w:rsidR="001A5DAF">
        <w:rPr>
          <w:rFonts w:eastAsia="Times New Roman" w:cstheme="minorHAnsi"/>
        </w:rPr>
        <w:t>party’s interests. L</w:t>
      </w:r>
      <w:r w:rsidR="00BF7FF4">
        <w:rPr>
          <w:rFonts w:eastAsia="Times New Roman" w:cstheme="minorHAnsi"/>
        </w:rPr>
        <w:t xml:space="preserve">egislative history establishes that in the case of works-made-for-hire, ownership rights are vested in the commissioning party unless agreed otherwise. The intent of Congress to clarify ownership rights is established after a work has been authored by requiring the parties to sign a written instrument that the commissioned work shall be considered made-for-hire. </w:t>
      </w:r>
      <w:r w:rsidR="00BF7FF4">
        <w:rPr>
          <w:rFonts w:eastAsia="Times New Roman" w:cs="Times New Roman"/>
          <w:szCs w:val="24"/>
        </w:rPr>
        <w:t xml:space="preserve"> </w:t>
      </w:r>
    </w:p>
    <w:p w14:paraId="7D2A504C" w14:textId="77777777" w:rsidR="006D2971" w:rsidRPr="006D2971" w:rsidRDefault="008B5627" w:rsidP="006D2971">
      <w:pPr>
        <w:pStyle w:val="ListParagraph"/>
        <w:numPr>
          <w:ilvl w:val="0"/>
          <w:numId w:val="2"/>
        </w:numPr>
        <w:spacing w:after="200" w:line="276" w:lineRule="auto"/>
        <w:rPr>
          <w:b/>
        </w:rPr>
      </w:pPr>
      <w:r>
        <w:rPr>
          <w:b/>
        </w:rPr>
        <w:t xml:space="preserve">Other Jurisdictions Have Also Found That No Signed Writing is Required Before Parties Enter a Work-Made-for-Hire Agreement. </w:t>
      </w:r>
    </w:p>
    <w:p w14:paraId="5B576067" w14:textId="77777777" w:rsidR="006D2971" w:rsidRPr="0029769F" w:rsidRDefault="006D2971" w:rsidP="006D2971">
      <w:pPr>
        <w:spacing w:after="200"/>
        <w:ind w:firstLine="720"/>
      </w:pPr>
      <w:r w:rsidRPr="00DB6326">
        <w:t xml:space="preserve">To date, four circuits have ruled on the temporality of a signed writing between contracting parties in work-made-for-hire agreements. </w:t>
      </w:r>
      <w:r>
        <w:t>Three of those circuits have</w:t>
      </w:r>
      <w:r w:rsidRPr="000541D2">
        <w:rPr>
          <w:rFonts w:eastAsia="Times New Roman" w:cs="Times New Roman"/>
          <w:szCs w:val="24"/>
        </w:rPr>
        <w:t xml:space="preserve"> granted the </w:t>
      </w:r>
      <w:r w:rsidRPr="000541D2">
        <w:rPr>
          <w:rFonts w:eastAsia="Times New Roman" w:cs="Times New Roman"/>
          <w:szCs w:val="24"/>
        </w:rPr>
        <w:lastRenderedPageBreak/>
        <w:t>parties freedom to contract upon completion of the work wh</w:t>
      </w:r>
      <w:r>
        <w:rPr>
          <w:rFonts w:eastAsia="Times New Roman" w:cs="Times New Roman"/>
          <w:szCs w:val="24"/>
        </w:rPr>
        <w:t>en it is both</w:t>
      </w:r>
      <w:r w:rsidRPr="000541D2">
        <w:rPr>
          <w:rFonts w:eastAsia="Times New Roman" w:cs="Times New Roman"/>
          <w:szCs w:val="24"/>
        </w:rPr>
        <w:t xml:space="preserve"> logical</w:t>
      </w:r>
      <w:r w:rsidR="001A5DAF">
        <w:rPr>
          <w:rFonts w:eastAsia="Times New Roman" w:cs="Times New Roman"/>
          <w:szCs w:val="24"/>
        </w:rPr>
        <w:t xml:space="preserve"> and practical</w:t>
      </w:r>
      <w:r w:rsidRPr="000541D2">
        <w:rPr>
          <w:rFonts w:eastAsia="Times New Roman" w:cs="Times New Roman"/>
          <w:szCs w:val="24"/>
        </w:rPr>
        <w:t xml:space="preserve">. </w:t>
      </w:r>
      <w:r w:rsidRPr="000541D2">
        <w:rPr>
          <w:i/>
        </w:rPr>
        <w:t>Playboy Enterprises, Inc. v. Dumas</w:t>
      </w:r>
      <w:r w:rsidRPr="00515AF0">
        <w:t>, 53 F.3d 549, 559 (2d Cir. 1995)</w:t>
      </w:r>
      <w:r>
        <w:t xml:space="preserve">; </w:t>
      </w:r>
      <w:r w:rsidRPr="000541D2">
        <w:rPr>
          <w:rFonts w:eastAsia="Times New Roman" w:cstheme="minorHAnsi"/>
          <w:i/>
        </w:rPr>
        <w:t>TMTV, Corp. v. Mass Productions, Inc.</w:t>
      </w:r>
      <w:r w:rsidRPr="000541D2">
        <w:rPr>
          <w:rFonts w:eastAsia="Times New Roman" w:cstheme="minorHAnsi"/>
        </w:rPr>
        <w:t xml:space="preserve">, 345 F. Supp. 2d 196, 206-07 (D.P.R. 2004) </w:t>
      </w:r>
      <w:proofErr w:type="spellStart"/>
      <w:r w:rsidRPr="00904EAD">
        <w:rPr>
          <w:rFonts w:eastAsia="Times New Roman" w:cstheme="minorHAnsi"/>
          <w:i/>
        </w:rPr>
        <w:t>aff'd</w:t>
      </w:r>
      <w:proofErr w:type="spellEnd"/>
      <w:r w:rsidRPr="00904EAD">
        <w:rPr>
          <w:rFonts w:eastAsia="Times New Roman" w:cstheme="minorHAnsi"/>
          <w:i/>
        </w:rPr>
        <w:t xml:space="preserve">, </w:t>
      </w:r>
      <w:r w:rsidRPr="000541D2">
        <w:rPr>
          <w:rFonts w:eastAsia="Times New Roman" w:cstheme="minorHAnsi"/>
        </w:rPr>
        <w:t>645 F.3d 464 (1st Cir. 2011)</w:t>
      </w:r>
      <w:r>
        <w:rPr>
          <w:rFonts w:eastAsia="Times New Roman" w:cstheme="minorHAnsi"/>
        </w:rPr>
        <w:t>;</w:t>
      </w:r>
      <w:r>
        <w:t xml:space="preserve"> </w:t>
      </w:r>
      <w:r w:rsidRPr="007109B2">
        <w:rPr>
          <w:rFonts w:eastAsia="Times New Roman" w:cstheme="minorHAnsi"/>
          <w:i/>
        </w:rPr>
        <w:t>Twentieth Century F</w:t>
      </w:r>
      <w:r>
        <w:rPr>
          <w:rFonts w:eastAsia="Times New Roman" w:cstheme="minorHAnsi"/>
          <w:i/>
        </w:rPr>
        <w:t xml:space="preserve">ox Film Corp. v. </w:t>
      </w:r>
      <w:proofErr w:type="spellStart"/>
      <w:r>
        <w:rPr>
          <w:rFonts w:eastAsia="Times New Roman" w:cstheme="minorHAnsi"/>
          <w:i/>
        </w:rPr>
        <w:t>Entm't</w:t>
      </w:r>
      <w:proofErr w:type="spellEnd"/>
      <w:r>
        <w:rPr>
          <w:rFonts w:eastAsia="Times New Roman" w:cstheme="minorHAnsi"/>
          <w:i/>
        </w:rPr>
        <w:t xml:space="preserve"> </w:t>
      </w:r>
      <w:proofErr w:type="spellStart"/>
      <w:r>
        <w:rPr>
          <w:rFonts w:eastAsia="Times New Roman" w:cstheme="minorHAnsi"/>
          <w:i/>
        </w:rPr>
        <w:t>Distrib</w:t>
      </w:r>
      <w:proofErr w:type="spellEnd"/>
      <w:r>
        <w:rPr>
          <w:rFonts w:eastAsia="Times New Roman" w:cstheme="minorHAnsi"/>
          <w:i/>
        </w:rPr>
        <w:t>.</w:t>
      </w:r>
      <w:r w:rsidRPr="00255359">
        <w:rPr>
          <w:rFonts w:eastAsia="Times New Roman" w:cstheme="minorHAnsi"/>
        </w:rPr>
        <w:t>,</w:t>
      </w:r>
      <w:r>
        <w:rPr>
          <w:rFonts w:eastAsia="Times New Roman" w:cstheme="minorHAnsi"/>
        </w:rPr>
        <w:t xml:space="preserve"> </w:t>
      </w:r>
      <w:r w:rsidRPr="00255359">
        <w:rPr>
          <w:rFonts w:eastAsia="Times New Roman" w:cstheme="minorHAnsi"/>
        </w:rPr>
        <w:t>429 F.3d 869, 882 (9th Cir. 2005</w:t>
      </w:r>
      <w:r w:rsidRPr="007109B2">
        <w:rPr>
          <w:rFonts w:eastAsia="Times New Roman" w:cstheme="minorHAnsi"/>
        </w:rPr>
        <w:t>)</w:t>
      </w:r>
      <w:r>
        <w:rPr>
          <w:rFonts w:eastAsia="Times New Roman" w:cstheme="minorHAnsi"/>
        </w:rPr>
        <w:t xml:space="preserve">. In contrast, just one </w:t>
      </w:r>
      <w:r>
        <w:t xml:space="preserve">circuit has read-in a writing requirement and insisted that parties sign a contract before the work is conceived. </w:t>
      </w:r>
      <w:r w:rsidRPr="000541D2">
        <w:rPr>
          <w:rFonts w:eastAsia="Times New Roman" w:cs="Times New Roman"/>
          <w:i/>
          <w:szCs w:val="24"/>
        </w:rPr>
        <w:t xml:space="preserve">Schiller &amp; Schmidt, Inc. v. </w:t>
      </w:r>
      <w:proofErr w:type="spellStart"/>
      <w:r w:rsidRPr="000541D2">
        <w:rPr>
          <w:rFonts w:eastAsia="Times New Roman" w:cs="Times New Roman"/>
          <w:i/>
          <w:szCs w:val="24"/>
        </w:rPr>
        <w:t>Nordisco</w:t>
      </w:r>
      <w:proofErr w:type="spellEnd"/>
      <w:r w:rsidRPr="000541D2">
        <w:rPr>
          <w:rFonts w:eastAsia="Times New Roman" w:cs="Times New Roman"/>
          <w:i/>
          <w:szCs w:val="24"/>
        </w:rPr>
        <w:t xml:space="preserve"> Corp.</w:t>
      </w:r>
      <w:r w:rsidRPr="000541D2">
        <w:rPr>
          <w:rFonts w:eastAsia="Times New Roman" w:cs="Times New Roman"/>
          <w:szCs w:val="24"/>
        </w:rPr>
        <w:t>, 969</w:t>
      </w:r>
      <w:r>
        <w:rPr>
          <w:rFonts w:eastAsia="Times New Roman" w:cs="Times New Roman"/>
          <w:szCs w:val="24"/>
        </w:rPr>
        <w:t xml:space="preserve"> F.2d 410, 411 (7th Cir. 1992).</w:t>
      </w:r>
    </w:p>
    <w:p w14:paraId="421A45BB" w14:textId="77777777" w:rsidR="006D2971" w:rsidRPr="00C943F9" w:rsidRDefault="006D2971" w:rsidP="004770F8">
      <w:pPr>
        <w:spacing w:after="240"/>
        <w:ind w:firstLine="720"/>
      </w:pPr>
      <w:r>
        <w:t xml:space="preserve">In </w:t>
      </w:r>
      <w:r w:rsidRPr="0075779C">
        <w:rPr>
          <w:i/>
        </w:rPr>
        <w:t>Playboy v. Dumas</w:t>
      </w:r>
      <w:r w:rsidR="004435DF">
        <w:t>,</w:t>
      </w:r>
      <w:r>
        <w:t xml:space="preserve"> 53 F.3d 549 (2d Cir. 1995), the Second Circuit found that an agreement may be memorialized in writing after the commission of a hired work. Playboy hired Dumas to create paintings that would appear in the company’s magazine. </w:t>
      </w:r>
      <w:proofErr w:type="gramStart"/>
      <w:r w:rsidRPr="00DD4F45">
        <w:rPr>
          <w:i/>
        </w:rPr>
        <w:t>Id</w:t>
      </w:r>
      <w:r>
        <w:t>. at 556.</w:t>
      </w:r>
      <w:proofErr w:type="gramEnd"/>
      <w:r>
        <w:t xml:space="preserve">  Playboy indicated on checks to the artist that the checks were payment for services rendered by the artist on a work-for-hire basis. </w:t>
      </w:r>
      <w:proofErr w:type="gramStart"/>
      <w:r w:rsidRPr="00DD4F45">
        <w:rPr>
          <w:i/>
        </w:rPr>
        <w:t>Id</w:t>
      </w:r>
      <w:r>
        <w:t>. at 559.</w:t>
      </w:r>
      <w:proofErr w:type="gramEnd"/>
      <w:r>
        <w:t xml:space="preserve"> This legend on the checks was sufficient to show that the parties intended a work-for-hire relationship under</w:t>
      </w:r>
      <w:r w:rsidR="004435DF">
        <w:t xml:space="preserve"> the</w:t>
      </w:r>
      <w:r>
        <w:t xml:space="preserve"> Copyright Act of 1976. </w:t>
      </w:r>
      <w:proofErr w:type="gramStart"/>
      <w:r w:rsidRPr="00593F62">
        <w:rPr>
          <w:i/>
        </w:rPr>
        <w:t>Id</w:t>
      </w:r>
      <w:r>
        <w:t xml:space="preserve">. at </w:t>
      </w:r>
      <w:r>
        <w:rPr>
          <w:rFonts w:eastAsia="Times New Roman" w:cs="Times New Roman"/>
          <w:szCs w:val="24"/>
        </w:rPr>
        <w:t>560.</w:t>
      </w:r>
      <w:proofErr w:type="gramEnd"/>
      <w:r>
        <w:t xml:space="preserve"> By endorsing the checks, Dumas consented to the practice under which any works he sold to publisher would be considered works for hire. </w:t>
      </w:r>
      <w:r w:rsidRPr="00593F62">
        <w:rPr>
          <w:i/>
        </w:rPr>
        <w:t>Id</w:t>
      </w:r>
      <w:r>
        <w:t xml:space="preserve">. </w:t>
      </w:r>
      <w:r w:rsidR="004770F8">
        <w:t>The</w:t>
      </w:r>
      <w:r>
        <w:t xml:space="preserve"> court discussed whe</w:t>
      </w:r>
      <w:r w:rsidR="00B70912">
        <w:t>n the writing must be executed</w:t>
      </w:r>
      <w:r w:rsidR="004435DF">
        <w:t>,</w:t>
      </w:r>
      <w:r w:rsidR="00B70912">
        <w:t xml:space="preserve"> noting</w:t>
      </w:r>
      <w:r>
        <w:t xml:space="preserve"> that requiring a signed writing before the creation of the work would have the result of </w:t>
      </w:r>
      <w:r w:rsidR="00B70912">
        <w:t>naming the commissioning party</w:t>
      </w:r>
      <w:r>
        <w:t xml:space="preserve"> as the author before the work was made. </w:t>
      </w:r>
      <w:proofErr w:type="gramStart"/>
      <w:r w:rsidRPr="00A7602C">
        <w:rPr>
          <w:i/>
        </w:rPr>
        <w:t>Id.</w:t>
      </w:r>
      <w:r>
        <w:t xml:space="preserve"> at 555.</w:t>
      </w:r>
      <w:proofErr w:type="gramEnd"/>
      <w:r>
        <w:t xml:space="preserve"> </w:t>
      </w:r>
      <w:r w:rsidR="001A5DAF">
        <w:t>This presents a clear conflict in which</w:t>
      </w:r>
      <w:r w:rsidR="004770F8">
        <w:t xml:space="preserve">, </w:t>
      </w:r>
      <w:r>
        <w:t>“</w:t>
      </w:r>
      <w:r w:rsidR="004770F8">
        <w:t xml:space="preserve">A </w:t>
      </w:r>
      <w:r w:rsidRPr="007D217F">
        <w:t xml:space="preserve">work-for-hire agreement would make the hiring party the </w:t>
      </w:r>
      <w:r w:rsidR="004435DF">
        <w:t>'</w:t>
      </w:r>
      <w:r w:rsidRPr="007D217F">
        <w:t>author</w:t>
      </w:r>
      <w:r w:rsidR="004435DF">
        <w:t>’</w:t>
      </w:r>
      <w:r w:rsidRPr="007D217F">
        <w:t xml:space="preserve"> of the work, whereas a transfer would convey </w:t>
      </w:r>
      <w:r w:rsidR="00B70912">
        <w:t>only ownership of the copyright</w:t>
      </w:r>
      <w:r w:rsidRPr="007D217F">
        <w:t>.</w:t>
      </w:r>
      <w:r>
        <w:t xml:space="preserve">” </w:t>
      </w:r>
      <w:r w:rsidRPr="00A7602C">
        <w:rPr>
          <w:i/>
        </w:rPr>
        <w:t>Id.</w:t>
      </w:r>
      <w:r>
        <w:t xml:space="preserve"> </w:t>
      </w:r>
    </w:p>
    <w:p w14:paraId="04F1E982" w14:textId="77777777" w:rsidR="006D2971" w:rsidRDefault="006D2971" w:rsidP="006D2971">
      <w:pPr>
        <w:spacing w:after="240"/>
        <w:ind w:firstLine="720"/>
      </w:pPr>
      <w:r>
        <w:t xml:space="preserve">Similarly, the court in </w:t>
      </w:r>
      <w:r w:rsidRPr="00B83E0F">
        <w:rPr>
          <w:rFonts w:eastAsia="Times New Roman" w:cstheme="minorHAnsi"/>
          <w:i/>
        </w:rPr>
        <w:t xml:space="preserve">Eden Toys, Inc. v. </w:t>
      </w:r>
      <w:proofErr w:type="spellStart"/>
      <w:r w:rsidRPr="00B83E0F">
        <w:rPr>
          <w:rFonts w:eastAsia="Times New Roman" w:cstheme="minorHAnsi"/>
          <w:i/>
        </w:rPr>
        <w:t>Florelee</w:t>
      </w:r>
      <w:proofErr w:type="spellEnd"/>
      <w:r w:rsidRPr="00B83E0F">
        <w:rPr>
          <w:rFonts w:eastAsia="Times New Roman" w:cstheme="minorHAnsi"/>
          <w:i/>
        </w:rPr>
        <w:t xml:space="preserve"> Undergarment Co., Inc.</w:t>
      </w:r>
      <w:r w:rsidRPr="00B83E0F">
        <w:rPr>
          <w:rFonts w:eastAsia="Times New Roman" w:cstheme="minorHAnsi"/>
        </w:rPr>
        <w:t>, 697 F.2d 27, 36 (2d Cir. 1982) addressed the issue of temporal priority</w:t>
      </w:r>
      <w:r>
        <w:rPr>
          <w:rFonts w:eastAsia="Times New Roman" w:cstheme="minorHAnsi"/>
        </w:rPr>
        <w:t>,</w:t>
      </w:r>
      <w:r w:rsidRPr="00B83E0F">
        <w:rPr>
          <w:rFonts w:eastAsia="Times New Roman" w:cstheme="minorHAnsi"/>
        </w:rPr>
        <w:t xml:space="preserve"> concluding that the requirement of </w:t>
      </w:r>
      <w:r>
        <w:rPr>
          <w:rFonts w:eastAsia="Times New Roman" w:cstheme="minorHAnsi"/>
        </w:rPr>
        <w:t xml:space="preserve">a </w:t>
      </w:r>
      <w:r w:rsidRPr="00B83E0F">
        <w:rPr>
          <w:rFonts w:eastAsia="Times New Roman" w:cstheme="minorHAnsi"/>
        </w:rPr>
        <w:t xml:space="preserve">signed agreement was included in the statute to prevent fraudulent claims of copyright. </w:t>
      </w:r>
      <w:r>
        <w:rPr>
          <w:rFonts w:eastAsia="Times New Roman" w:cstheme="minorHAnsi"/>
        </w:rPr>
        <w:t xml:space="preserve">This copyright infringement case arose when a </w:t>
      </w:r>
      <w:r>
        <w:t>copyright holder granted</w:t>
      </w:r>
      <w:r w:rsidR="004435DF">
        <w:t xml:space="preserve"> an</w:t>
      </w:r>
      <w:r>
        <w:t xml:space="preserve"> informal license to sell </w:t>
      </w:r>
      <w:r>
        <w:lastRenderedPageBreak/>
        <w:t>“Paddington Bear” products in the adult clothing market.</w:t>
      </w:r>
      <w:r w:rsidR="00206399">
        <w:t xml:space="preserve"> </w:t>
      </w:r>
      <w:proofErr w:type="gramStart"/>
      <w:r w:rsidR="00206399" w:rsidRPr="00206399">
        <w:rPr>
          <w:i/>
        </w:rPr>
        <w:t>Id</w:t>
      </w:r>
      <w:r w:rsidR="00206399">
        <w:t>. at 30.</w:t>
      </w:r>
      <w:proofErr w:type="gramEnd"/>
      <w:r w:rsidR="00206399">
        <w:t xml:space="preserve"> </w:t>
      </w:r>
      <w:r>
        <w:t xml:space="preserve">This information license was later confirmed in a writing signed by the owner. </w:t>
      </w:r>
      <w:r w:rsidRPr="00B80808">
        <w:rPr>
          <w:i/>
        </w:rPr>
        <w:t>Id</w:t>
      </w:r>
      <w:r w:rsidR="00206399">
        <w:t>.</w:t>
      </w:r>
      <w:r w:rsidR="00206399">
        <w:rPr>
          <w:rFonts w:eastAsia="Times New Roman" w:cs="Times New Roman"/>
          <w:szCs w:val="24"/>
        </w:rPr>
        <w:t xml:space="preserve"> </w:t>
      </w:r>
      <w:r>
        <w:rPr>
          <w:rFonts w:eastAsia="Times New Roman" w:cs="Times New Roman"/>
          <w:szCs w:val="24"/>
        </w:rPr>
        <w:t>T</w:t>
      </w:r>
      <w:r w:rsidRPr="00B83E0F">
        <w:rPr>
          <w:rFonts w:eastAsia="Times New Roman" w:cstheme="minorHAnsi"/>
        </w:rPr>
        <w:t>he court suggested that as long as an agreement is memorialized in writing it makes known to both parties wh</w:t>
      </w:r>
      <w:r w:rsidR="001A5DAF">
        <w:rPr>
          <w:rFonts w:eastAsia="Times New Roman" w:cstheme="minorHAnsi"/>
        </w:rPr>
        <w:t>o the owner of the copyright is</w:t>
      </w:r>
      <w:r w:rsidR="004435DF">
        <w:rPr>
          <w:rFonts w:eastAsia="Times New Roman" w:cstheme="minorHAnsi"/>
        </w:rPr>
        <w:t>, saying that,</w:t>
      </w:r>
      <w:r>
        <w:rPr>
          <w:rFonts w:eastAsia="Times New Roman" w:cstheme="minorHAnsi"/>
        </w:rPr>
        <w:t xml:space="preserve"> </w:t>
      </w:r>
      <w:r w:rsidRPr="00B83E0F">
        <w:rPr>
          <w:rFonts w:eastAsia="Times New Roman" w:cstheme="minorHAnsi"/>
        </w:rPr>
        <w:t>“</w:t>
      </w:r>
      <w:r>
        <w:rPr>
          <w:rFonts w:eastAsia="Times New Roman" w:cstheme="minorHAnsi"/>
        </w:rPr>
        <w:t>[</w:t>
      </w:r>
      <w:r>
        <w:t>S]</w:t>
      </w:r>
      <w:proofErr w:type="spellStart"/>
      <w:r>
        <w:t>ince</w:t>
      </w:r>
      <w:proofErr w:type="spellEnd"/>
      <w:r>
        <w:t xml:space="preserve"> the purpose of the provision is to protect copyright holders from persons mistakenly or fraudulently claiming oral licenses, the ‘note or memorandum of the transfer’ need not be made at the time when the license is initiated; the requirement is satisfied by the copyright owner's later execution of a writing which confirms the agreement.” </w:t>
      </w:r>
      <w:proofErr w:type="gramStart"/>
      <w:r w:rsidRPr="00A7602C">
        <w:rPr>
          <w:i/>
        </w:rPr>
        <w:t>Id</w:t>
      </w:r>
      <w:r>
        <w:t>. at 37.</w:t>
      </w:r>
      <w:proofErr w:type="gramEnd"/>
    </w:p>
    <w:p w14:paraId="4F97DA25" w14:textId="77777777" w:rsidR="006D2971" w:rsidRDefault="006D2971" w:rsidP="006D2971">
      <w:pPr>
        <w:spacing w:after="240"/>
        <w:ind w:firstLine="720"/>
      </w:pPr>
      <w:r>
        <w:t xml:space="preserve">The court in </w:t>
      </w:r>
      <w:r w:rsidRPr="00C67D1B">
        <w:rPr>
          <w:rFonts w:eastAsia="Times New Roman" w:cstheme="minorHAnsi"/>
          <w:i/>
        </w:rPr>
        <w:t>TMTV, Corp. v. Mass Productions, Inc.</w:t>
      </w:r>
      <w:r w:rsidRPr="00C67D1B">
        <w:rPr>
          <w:rFonts w:eastAsia="Times New Roman" w:cstheme="minorHAnsi"/>
        </w:rPr>
        <w:t>, 345 F. Supp. 2d 196</w:t>
      </w:r>
      <w:r>
        <w:rPr>
          <w:rFonts w:eastAsia="Times New Roman" w:cstheme="minorHAnsi"/>
        </w:rPr>
        <w:t xml:space="preserve"> (1st Cir. 2011) reached a similar decision in a case where a producer sued a competing production company for </w:t>
      </w:r>
      <w:r w:rsidR="00B70912">
        <w:rPr>
          <w:rFonts w:eastAsia="Times New Roman" w:cstheme="minorHAnsi"/>
        </w:rPr>
        <w:t>copyright infringement of a derivative work</w:t>
      </w:r>
      <w:r>
        <w:rPr>
          <w:rFonts w:eastAsia="Times New Roman" w:cstheme="minorHAnsi"/>
        </w:rPr>
        <w:t xml:space="preserve">. TMTV produced a television sitcom entitled “20 </w:t>
      </w:r>
      <w:proofErr w:type="spellStart"/>
      <w:r w:rsidR="00B70912">
        <w:rPr>
          <w:rFonts w:eastAsia="Times New Roman" w:cstheme="minorHAnsi"/>
        </w:rPr>
        <w:t>Pisos</w:t>
      </w:r>
      <w:proofErr w:type="spellEnd"/>
      <w:r w:rsidR="00B70912">
        <w:rPr>
          <w:rFonts w:eastAsia="Times New Roman" w:cstheme="minorHAnsi"/>
        </w:rPr>
        <w:t xml:space="preserve"> de </w:t>
      </w:r>
      <w:proofErr w:type="spellStart"/>
      <w:r w:rsidR="00B70912">
        <w:rPr>
          <w:rFonts w:eastAsia="Times New Roman" w:cstheme="minorHAnsi"/>
        </w:rPr>
        <w:t>Historia</w:t>
      </w:r>
      <w:proofErr w:type="spellEnd"/>
      <w:r w:rsidR="00B70912">
        <w:rPr>
          <w:rFonts w:eastAsia="Times New Roman" w:cstheme="minorHAnsi"/>
        </w:rPr>
        <w:t>” for 2 years until</w:t>
      </w:r>
      <w:r>
        <w:rPr>
          <w:rFonts w:eastAsia="Times New Roman" w:cstheme="minorHAnsi"/>
        </w:rPr>
        <w:t xml:space="preserve"> </w:t>
      </w:r>
      <w:proofErr w:type="spellStart"/>
      <w:r>
        <w:rPr>
          <w:rFonts w:eastAsia="Times New Roman" w:cstheme="minorHAnsi"/>
        </w:rPr>
        <w:t>Emmanual</w:t>
      </w:r>
      <w:proofErr w:type="spellEnd"/>
      <w:r>
        <w:rPr>
          <w:rFonts w:eastAsia="Times New Roman" w:cstheme="minorHAnsi"/>
        </w:rPr>
        <w:t xml:space="preserve"> </w:t>
      </w:r>
      <w:proofErr w:type="spellStart"/>
      <w:r>
        <w:rPr>
          <w:rFonts w:eastAsia="Times New Roman" w:cstheme="minorHAnsi"/>
        </w:rPr>
        <w:t>Logroño</w:t>
      </w:r>
      <w:proofErr w:type="spellEnd"/>
      <w:r>
        <w:rPr>
          <w:rFonts w:eastAsia="Times New Roman" w:cstheme="minorHAnsi"/>
        </w:rPr>
        <w:t>, codefendant in this case</w:t>
      </w:r>
      <w:r w:rsidR="00B70912">
        <w:rPr>
          <w:rFonts w:eastAsia="Times New Roman" w:cstheme="minorHAnsi"/>
        </w:rPr>
        <w:t>,</w:t>
      </w:r>
      <w:r>
        <w:rPr>
          <w:rFonts w:eastAsia="Times New Roman" w:cstheme="minorHAnsi"/>
        </w:rPr>
        <w:t xml:space="preserve"> moved to a competing production company that produced a</w:t>
      </w:r>
      <w:r w:rsidR="00137BA7">
        <w:rPr>
          <w:rFonts w:eastAsia="Times New Roman" w:cstheme="minorHAnsi"/>
        </w:rPr>
        <w:t xml:space="preserve"> new</w:t>
      </w:r>
      <w:r>
        <w:rPr>
          <w:rFonts w:eastAsia="Times New Roman" w:cstheme="minorHAnsi"/>
        </w:rPr>
        <w:t xml:space="preserve"> show called</w:t>
      </w:r>
      <w:r w:rsidR="00137BA7">
        <w:t xml:space="preserve"> “El </w:t>
      </w:r>
      <w:proofErr w:type="spellStart"/>
      <w:r w:rsidR="00137BA7">
        <w:t>Condominio</w:t>
      </w:r>
      <w:proofErr w:type="spellEnd"/>
      <w:r w:rsidR="00137BA7">
        <w:t>.”</w:t>
      </w:r>
      <w:r w:rsidR="00206399">
        <w:t xml:space="preserve"> </w:t>
      </w:r>
      <w:proofErr w:type="gramStart"/>
      <w:r w:rsidR="00206399" w:rsidRPr="009B19C3">
        <w:rPr>
          <w:i/>
        </w:rPr>
        <w:t>Id.</w:t>
      </w:r>
      <w:r w:rsidR="00206399">
        <w:t xml:space="preserve"> at 197.</w:t>
      </w:r>
      <w:proofErr w:type="gramEnd"/>
      <w:r w:rsidR="00206399">
        <w:t xml:space="preserve"> </w:t>
      </w:r>
      <w:r>
        <w:t xml:space="preserve">TMTV alleged </w:t>
      </w:r>
      <w:r w:rsidR="00137BA7">
        <w:t xml:space="preserve">that this sitcom </w:t>
      </w:r>
      <w:r>
        <w:t xml:space="preserve">was an unauthorized derivative work of “20 </w:t>
      </w:r>
      <w:proofErr w:type="spellStart"/>
      <w:r>
        <w:t>Pisos</w:t>
      </w:r>
      <w:proofErr w:type="spellEnd"/>
      <w:r>
        <w:t xml:space="preserve"> de </w:t>
      </w:r>
      <w:proofErr w:type="spellStart"/>
      <w:r>
        <w:t>Historia</w:t>
      </w:r>
      <w:proofErr w:type="spellEnd"/>
      <w:r w:rsidR="00162F74">
        <w:t>.</w:t>
      </w:r>
      <w:r>
        <w:t>”</w:t>
      </w:r>
      <w:r w:rsidR="00206399">
        <w:t xml:space="preserve"> </w:t>
      </w:r>
      <w:r w:rsidR="00206399" w:rsidRPr="00206399">
        <w:rPr>
          <w:i/>
        </w:rPr>
        <w:t>Id</w:t>
      </w:r>
      <w:r w:rsidR="00206399">
        <w:t xml:space="preserve">. </w:t>
      </w:r>
      <w:r>
        <w:rPr>
          <w:rFonts w:eastAsia="Times New Roman" w:cstheme="minorHAnsi"/>
        </w:rPr>
        <w:t>The court granted summary judgment</w:t>
      </w:r>
      <w:r w:rsidR="00162F74">
        <w:rPr>
          <w:rFonts w:eastAsia="Times New Roman" w:cstheme="minorHAnsi"/>
        </w:rPr>
        <w:t>,</w:t>
      </w:r>
      <w:r>
        <w:rPr>
          <w:rFonts w:eastAsia="Times New Roman" w:cstheme="minorHAnsi"/>
        </w:rPr>
        <w:t xml:space="preserve"> finding </w:t>
      </w:r>
      <w:r>
        <w:t xml:space="preserve">that </w:t>
      </w:r>
      <w:r w:rsidRPr="00A6123E">
        <w:t xml:space="preserve">17 U.S.C. </w:t>
      </w:r>
      <w:r w:rsidRPr="0075779C">
        <w:rPr>
          <w:rFonts w:cstheme="minorHAnsi"/>
        </w:rPr>
        <w:t>§</w:t>
      </w:r>
      <w:r w:rsidRPr="00A6123E">
        <w:t xml:space="preserve"> 101 only requires an agreement before work is comm</w:t>
      </w:r>
      <w:r>
        <w:t>issioned and that a writing which</w:t>
      </w:r>
      <w:r w:rsidRPr="00A6123E">
        <w:t xml:space="preserve"> is signed by both parties upon completion of the work can eff</w:t>
      </w:r>
      <w:r>
        <w:t xml:space="preserve">ectively ratify this agreement. </w:t>
      </w:r>
      <w:proofErr w:type="gramStart"/>
      <w:r w:rsidRPr="009B19C3">
        <w:rPr>
          <w:i/>
        </w:rPr>
        <w:t>Id.</w:t>
      </w:r>
      <w:r>
        <w:t xml:space="preserve"> at 197.</w:t>
      </w:r>
      <w:proofErr w:type="gramEnd"/>
      <w:r>
        <w:t xml:space="preserve"> In this case, an after-the-fact contract was signed by television program scriptwriters reiterating prior agreements with the producer to write pilot scripts for hire. </w:t>
      </w:r>
      <w:proofErr w:type="gramStart"/>
      <w:r w:rsidRPr="00C943F9">
        <w:rPr>
          <w:i/>
        </w:rPr>
        <w:t>Id</w:t>
      </w:r>
      <w:r>
        <w:t>. at 207.</w:t>
      </w:r>
      <w:proofErr w:type="gramEnd"/>
      <w:r>
        <w:t xml:space="preserve"> This was ruled a valid means of establishing work-for-hire status for subject scripts. </w:t>
      </w:r>
      <w:r w:rsidRPr="00C943F9">
        <w:rPr>
          <w:i/>
        </w:rPr>
        <w:t>Id</w:t>
      </w:r>
      <w:r>
        <w:t xml:space="preserve">. </w:t>
      </w:r>
    </w:p>
    <w:p w14:paraId="0F98A6F2" w14:textId="77777777" w:rsidR="006D2971" w:rsidRPr="00613121" w:rsidRDefault="006D2971" w:rsidP="00B450E2">
      <w:pPr>
        <w:ind w:firstLine="720"/>
        <w:rPr>
          <w:rFonts w:eastAsia="Times New Roman" w:cs="Times New Roman"/>
          <w:szCs w:val="24"/>
        </w:rPr>
      </w:pPr>
      <w:r w:rsidRPr="0097777F">
        <w:rPr>
          <w:rFonts w:eastAsia="Times New Roman" w:cs="Times New Roman"/>
          <w:szCs w:val="24"/>
        </w:rPr>
        <w:t xml:space="preserve">In </w:t>
      </w:r>
      <w:r w:rsidRPr="00613121">
        <w:rPr>
          <w:rFonts w:eastAsia="Times New Roman" w:cs="Times New Roman"/>
          <w:i/>
          <w:szCs w:val="24"/>
        </w:rPr>
        <w:t xml:space="preserve">Twentieth Century Fox Film Corp. v. </w:t>
      </w:r>
      <w:proofErr w:type="spellStart"/>
      <w:r w:rsidRPr="00613121">
        <w:rPr>
          <w:rFonts w:eastAsia="Times New Roman" w:cs="Times New Roman"/>
          <w:i/>
          <w:szCs w:val="24"/>
        </w:rPr>
        <w:t>Entm't</w:t>
      </w:r>
      <w:proofErr w:type="spellEnd"/>
      <w:r w:rsidRPr="00613121">
        <w:rPr>
          <w:rFonts w:eastAsia="Times New Roman" w:cs="Times New Roman"/>
          <w:i/>
          <w:szCs w:val="24"/>
        </w:rPr>
        <w:t xml:space="preserve"> </w:t>
      </w:r>
      <w:proofErr w:type="spellStart"/>
      <w:r w:rsidRPr="00613121">
        <w:rPr>
          <w:rFonts w:eastAsia="Times New Roman" w:cs="Times New Roman"/>
          <w:i/>
          <w:szCs w:val="24"/>
        </w:rPr>
        <w:t>Distrib</w:t>
      </w:r>
      <w:proofErr w:type="spellEnd"/>
      <w:r w:rsidRPr="00613121">
        <w:rPr>
          <w:rFonts w:eastAsia="Times New Roman" w:cs="Times New Roman"/>
          <w:i/>
          <w:szCs w:val="24"/>
        </w:rPr>
        <w:t>.</w:t>
      </w:r>
      <w:r>
        <w:rPr>
          <w:rFonts w:eastAsia="Times New Roman" w:cs="Times New Roman"/>
          <w:szCs w:val="24"/>
        </w:rPr>
        <w:t xml:space="preserve">, 429 F.3d 869 </w:t>
      </w:r>
      <w:r w:rsidRPr="0097777F">
        <w:rPr>
          <w:rFonts w:eastAsia="Times New Roman" w:cs="Times New Roman"/>
          <w:szCs w:val="24"/>
        </w:rPr>
        <w:t>(9th Cir. 2005)</w:t>
      </w:r>
      <w:r>
        <w:rPr>
          <w:rFonts w:eastAsia="Times New Roman" w:cs="Times New Roman"/>
          <w:szCs w:val="24"/>
        </w:rPr>
        <w:t>, General Eisenh</w:t>
      </w:r>
      <w:r w:rsidR="00137BA7">
        <w:rPr>
          <w:rFonts w:eastAsia="Times New Roman" w:cs="Times New Roman"/>
          <w:szCs w:val="24"/>
        </w:rPr>
        <w:t>ower contracted with Doubleday P</w:t>
      </w:r>
      <w:r>
        <w:rPr>
          <w:rFonts w:eastAsia="Times New Roman" w:cs="Times New Roman"/>
          <w:szCs w:val="24"/>
        </w:rPr>
        <w:t xml:space="preserve">ublishing and the New York Herald Tribune to compile a book on his account of World War II in Europe. The parties did not execute a formal written agreement creating a work-for-hire in </w:t>
      </w:r>
      <w:r w:rsidR="00137BA7">
        <w:rPr>
          <w:rFonts w:eastAsia="Times New Roman" w:cs="Times New Roman"/>
          <w:szCs w:val="24"/>
        </w:rPr>
        <w:t>order to comply with formal</w:t>
      </w:r>
      <w:r>
        <w:rPr>
          <w:rFonts w:eastAsia="Times New Roman" w:cs="Times New Roman"/>
          <w:szCs w:val="24"/>
        </w:rPr>
        <w:t xml:space="preserve"> tax requirements. </w:t>
      </w:r>
      <w:proofErr w:type="gramStart"/>
      <w:r w:rsidRPr="00AC6989">
        <w:rPr>
          <w:rFonts w:eastAsia="Times New Roman" w:cs="Times New Roman"/>
          <w:i/>
          <w:szCs w:val="24"/>
        </w:rPr>
        <w:t>Id.</w:t>
      </w:r>
      <w:r>
        <w:rPr>
          <w:rFonts w:eastAsia="Times New Roman" w:cs="Times New Roman"/>
          <w:szCs w:val="24"/>
        </w:rPr>
        <w:t xml:space="preserve"> </w:t>
      </w:r>
      <w:r>
        <w:rPr>
          <w:rFonts w:eastAsia="Times New Roman" w:cs="Times New Roman"/>
          <w:szCs w:val="24"/>
        </w:rPr>
        <w:lastRenderedPageBreak/>
        <w:t xml:space="preserve">at </w:t>
      </w:r>
      <w:r w:rsidRPr="0097777F">
        <w:rPr>
          <w:rFonts w:eastAsia="Times New Roman" w:cs="Times New Roman"/>
          <w:szCs w:val="24"/>
        </w:rPr>
        <w:t>882</w:t>
      </w:r>
      <w:r>
        <w:rPr>
          <w:rFonts w:eastAsia="Times New Roman" w:cs="Times New Roman"/>
          <w:szCs w:val="24"/>
        </w:rPr>
        <w:t>.</w:t>
      </w:r>
      <w:proofErr w:type="gramEnd"/>
      <w:r>
        <w:rPr>
          <w:rFonts w:eastAsia="Times New Roman" w:cs="Times New Roman"/>
          <w:szCs w:val="24"/>
        </w:rPr>
        <w:t xml:space="preserve"> The parties were sensitive about not creating any formal written instrument until at least six months after the book was completed so as not to jeopardize the capital gains treatment of this work. </w:t>
      </w:r>
      <w:r w:rsidRPr="00AC6989">
        <w:rPr>
          <w:rFonts w:eastAsia="Times New Roman" w:cs="Times New Roman"/>
          <w:i/>
          <w:szCs w:val="24"/>
        </w:rPr>
        <w:t>Id.</w:t>
      </w:r>
      <w:r>
        <w:rPr>
          <w:rFonts w:eastAsia="Times New Roman" w:cs="Times New Roman"/>
          <w:szCs w:val="24"/>
        </w:rPr>
        <w:t xml:space="preserve"> When Doubleday renewed its copyright in 1975, </w:t>
      </w:r>
      <w:r w:rsidR="00137BA7">
        <w:rPr>
          <w:rFonts w:eastAsia="Times New Roman" w:cs="Times New Roman"/>
          <w:szCs w:val="24"/>
        </w:rPr>
        <w:t>it</w:t>
      </w:r>
      <w:r>
        <w:rPr>
          <w:rFonts w:eastAsia="Times New Roman" w:cs="Times New Roman"/>
          <w:szCs w:val="24"/>
        </w:rPr>
        <w:t xml:space="preserve"> listed itself as the proprietor of the copyright as a work-for-hire. </w:t>
      </w:r>
      <w:proofErr w:type="gramStart"/>
      <w:r w:rsidR="00B450E2" w:rsidRPr="00632549">
        <w:rPr>
          <w:rFonts w:eastAsia="Times New Roman" w:cs="Times New Roman"/>
          <w:i/>
          <w:szCs w:val="24"/>
        </w:rPr>
        <w:t>Id.</w:t>
      </w:r>
      <w:r w:rsidR="00B450E2">
        <w:rPr>
          <w:rFonts w:eastAsia="Times New Roman" w:cs="Times New Roman"/>
          <w:szCs w:val="24"/>
        </w:rPr>
        <w:t xml:space="preserve"> at 884.</w:t>
      </w:r>
      <w:proofErr w:type="gramEnd"/>
      <w:r w:rsidR="00B450E2">
        <w:rPr>
          <w:rFonts w:eastAsia="Times New Roman" w:cs="Times New Roman"/>
          <w:szCs w:val="24"/>
        </w:rPr>
        <w:t xml:space="preserve"> </w:t>
      </w:r>
      <w:r>
        <w:rPr>
          <w:rFonts w:eastAsia="Times New Roman" w:cs="Times New Roman"/>
          <w:szCs w:val="24"/>
        </w:rPr>
        <w:t>Given the circumstances, the court concluded that there was insufficient evidence to rebut the presumption that the book was created for hire</w:t>
      </w:r>
      <w:r w:rsidR="00137BA7">
        <w:rPr>
          <w:rFonts w:eastAsia="Times New Roman" w:cs="Times New Roman"/>
          <w:szCs w:val="24"/>
        </w:rPr>
        <w:t xml:space="preserve"> finding that</w:t>
      </w:r>
      <w:r>
        <w:rPr>
          <w:rFonts w:eastAsia="Times New Roman" w:cs="Times New Roman"/>
          <w:szCs w:val="24"/>
        </w:rPr>
        <w:t xml:space="preserve"> the parties intended the creation of Eisenhower’s book to be a work-for-hire at the onset of their negotiations. </w:t>
      </w:r>
      <w:r>
        <w:rPr>
          <w:rFonts w:eastAsia="Times New Roman" w:cs="Times New Roman"/>
          <w:i/>
          <w:szCs w:val="24"/>
        </w:rPr>
        <w:t xml:space="preserve">Id. </w:t>
      </w:r>
      <w:r>
        <w:rPr>
          <w:rFonts w:eastAsia="Times New Roman" w:cs="Times New Roman"/>
          <w:szCs w:val="24"/>
        </w:rPr>
        <w:t>The failure to memorialize their agreement until months after the book’s creation did not invalidate the presumption that the work was for hire as the parties had intended.</w:t>
      </w:r>
      <w:r w:rsidRPr="00613121">
        <w:rPr>
          <w:rFonts w:eastAsia="Times New Roman" w:cs="Times New Roman"/>
          <w:i/>
          <w:szCs w:val="24"/>
        </w:rPr>
        <w:t xml:space="preserve"> </w:t>
      </w:r>
      <w:proofErr w:type="gramStart"/>
      <w:r>
        <w:rPr>
          <w:rFonts w:eastAsia="Times New Roman" w:cs="Times New Roman"/>
          <w:i/>
          <w:szCs w:val="24"/>
        </w:rPr>
        <w:t>Id.</w:t>
      </w:r>
      <w:r w:rsidR="00206399">
        <w:rPr>
          <w:rFonts w:eastAsia="Times New Roman" w:cs="Times New Roman"/>
          <w:szCs w:val="24"/>
        </w:rPr>
        <w:t xml:space="preserve"> at 883.</w:t>
      </w:r>
      <w:proofErr w:type="gramEnd"/>
      <w:r w:rsidR="00206399">
        <w:rPr>
          <w:rFonts w:eastAsia="Times New Roman" w:cs="Times New Roman"/>
          <w:szCs w:val="24"/>
        </w:rPr>
        <w:t xml:space="preserve"> </w:t>
      </w:r>
    </w:p>
    <w:p w14:paraId="6E493BCC" w14:textId="77777777" w:rsidR="006D2971" w:rsidRPr="00C943F9" w:rsidRDefault="001D07A8" w:rsidP="001D07A8">
      <w:pPr>
        <w:spacing w:after="240"/>
        <w:ind w:firstLine="720"/>
      </w:pPr>
      <w:r>
        <w:t xml:space="preserve">The Seventh Circuit </w:t>
      </w:r>
      <w:r w:rsidR="006D2971">
        <w:t xml:space="preserve">distinguished itself by stating as a bright-line rule that a written instrument must precede the creation of the work. </w:t>
      </w:r>
      <w:r w:rsidRPr="00807A41">
        <w:rPr>
          <w:rFonts w:eastAsia="Times New Roman" w:cs="Times New Roman"/>
          <w:i/>
          <w:szCs w:val="24"/>
        </w:rPr>
        <w:t xml:space="preserve">Schiller &amp; Schmidt, Inc. v. </w:t>
      </w:r>
      <w:proofErr w:type="spellStart"/>
      <w:r w:rsidRPr="00807A41">
        <w:rPr>
          <w:rFonts w:eastAsia="Times New Roman" w:cs="Times New Roman"/>
          <w:i/>
          <w:szCs w:val="24"/>
        </w:rPr>
        <w:t>Nordisco</w:t>
      </w:r>
      <w:proofErr w:type="spellEnd"/>
      <w:r w:rsidRPr="00807A41">
        <w:rPr>
          <w:rFonts w:eastAsia="Times New Roman" w:cs="Times New Roman"/>
          <w:i/>
          <w:szCs w:val="24"/>
        </w:rPr>
        <w:t xml:space="preserve"> Corp.</w:t>
      </w:r>
      <w:r w:rsidRPr="00807A41">
        <w:rPr>
          <w:rFonts w:eastAsia="Times New Roman" w:cs="Times New Roman"/>
          <w:szCs w:val="24"/>
        </w:rPr>
        <w:t>, 969 F.2d 410</w:t>
      </w:r>
      <w:r>
        <w:rPr>
          <w:rFonts w:eastAsia="Times New Roman" w:cs="Times New Roman"/>
          <w:szCs w:val="24"/>
        </w:rPr>
        <w:t>,412</w:t>
      </w:r>
      <w:r w:rsidRPr="00807A41">
        <w:rPr>
          <w:rFonts w:eastAsia="Times New Roman" w:cs="Times New Roman"/>
          <w:szCs w:val="24"/>
        </w:rPr>
        <w:t xml:space="preserve"> (7th Cir. 1992).</w:t>
      </w:r>
      <w:r w:rsidR="006D2971" w:rsidRPr="00807A41">
        <w:rPr>
          <w:rStyle w:val="Strong"/>
          <w:b w:val="0"/>
          <w:bCs w:val="0"/>
        </w:rPr>
        <w:t xml:space="preserve">The </w:t>
      </w:r>
      <w:r w:rsidR="00137BA7">
        <w:rPr>
          <w:rStyle w:val="Strong"/>
          <w:b w:val="0"/>
          <w:bCs w:val="0"/>
        </w:rPr>
        <w:t>court</w:t>
      </w:r>
      <w:r w:rsidR="006D2971" w:rsidRPr="00807A41">
        <w:rPr>
          <w:rStyle w:val="Strong"/>
          <w:b w:val="0"/>
          <w:bCs w:val="0"/>
        </w:rPr>
        <w:t xml:space="preserve"> </w:t>
      </w:r>
      <w:r>
        <w:rPr>
          <w:rStyle w:val="Strong"/>
          <w:b w:val="0"/>
          <w:bCs w:val="0"/>
        </w:rPr>
        <w:t>concluded</w:t>
      </w:r>
      <w:r w:rsidR="006D2971">
        <w:rPr>
          <w:rStyle w:val="Strong"/>
          <w:b w:val="0"/>
          <w:bCs w:val="0"/>
        </w:rPr>
        <w:t xml:space="preserve"> that a signed agreement was necessary before a work is commissioned</w:t>
      </w:r>
      <w:r w:rsidR="00162F74">
        <w:rPr>
          <w:rStyle w:val="Strong"/>
          <w:b w:val="0"/>
          <w:bCs w:val="0"/>
        </w:rPr>
        <w:t>,</w:t>
      </w:r>
      <w:r w:rsidR="006D2971" w:rsidRPr="00807A41">
        <w:rPr>
          <w:rStyle w:val="Strong"/>
          <w:b w:val="0"/>
          <w:bCs w:val="0"/>
        </w:rPr>
        <w:t xml:space="preserve"> finding that</w:t>
      </w:r>
      <w:r w:rsidR="001A5DAF">
        <w:rPr>
          <w:rStyle w:val="Strong"/>
          <w:b w:val="0"/>
          <w:bCs w:val="0"/>
        </w:rPr>
        <w:t>,</w:t>
      </w:r>
      <w:r w:rsidR="006D2971" w:rsidRPr="00807A41">
        <w:rPr>
          <w:rStyle w:val="Strong"/>
          <w:b w:val="0"/>
          <w:bCs w:val="0"/>
        </w:rPr>
        <w:t xml:space="preserve"> “The 1976 Act requires predictability and ce</w:t>
      </w:r>
      <w:r w:rsidR="006D2971">
        <w:rPr>
          <w:rStyle w:val="Strong"/>
          <w:b w:val="0"/>
          <w:bCs w:val="0"/>
        </w:rPr>
        <w:t xml:space="preserve">rtainty of copyright ownership . . . </w:t>
      </w:r>
      <w:r w:rsidR="006D2971" w:rsidRPr="00807A41">
        <w:rPr>
          <w:rStyle w:val="Strong"/>
          <w:b w:val="0"/>
          <w:bCs w:val="0"/>
        </w:rPr>
        <w:t xml:space="preserve"> which must be determined at the outset.” </w:t>
      </w:r>
      <w:r>
        <w:rPr>
          <w:rFonts w:eastAsia="Times New Roman" w:cs="Times New Roman"/>
          <w:i/>
          <w:szCs w:val="24"/>
        </w:rPr>
        <w:t>Id</w:t>
      </w:r>
      <w:r w:rsidR="006D2971" w:rsidRPr="00807A41">
        <w:rPr>
          <w:rFonts w:eastAsia="Times New Roman" w:cs="Times New Roman"/>
          <w:szCs w:val="24"/>
        </w:rPr>
        <w:t xml:space="preserve">. </w:t>
      </w:r>
      <w:r w:rsidR="006D2971">
        <w:rPr>
          <w:rFonts w:eastAsia="Times New Roman" w:cs="Times New Roman"/>
          <w:szCs w:val="24"/>
        </w:rPr>
        <w:t>In th</w:t>
      </w:r>
      <w:r w:rsidR="00764270">
        <w:rPr>
          <w:rFonts w:eastAsia="Times New Roman" w:cs="Times New Roman"/>
          <w:szCs w:val="24"/>
        </w:rPr>
        <w:t>at</w:t>
      </w:r>
      <w:r>
        <w:rPr>
          <w:rFonts w:eastAsia="Times New Roman" w:cs="Times New Roman"/>
          <w:szCs w:val="24"/>
        </w:rPr>
        <w:t xml:space="preserve"> </w:t>
      </w:r>
      <w:r w:rsidR="006D2971">
        <w:rPr>
          <w:rFonts w:eastAsia="Times New Roman" w:cs="Times New Roman"/>
          <w:szCs w:val="24"/>
        </w:rPr>
        <w:t xml:space="preserve">case, Garvey, an employee of an office supply company known as Schiller and Schmidt was in the business of commissioning a photographer to take pictures of various office supplies for the company’s catalog. </w:t>
      </w:r>
      <w:proofErr w:type="gramStart"/>
      <w:r w:rsidR="006D2971" w:rsidRPr="00C943F9">
        <w:rPr>
          <w:rFonts w:eastAsia="Times New Roman" w:cs="Times New Roman"/>
          <w:i/>
          <w:szCs w:val="24"/>
        </w:rPr>
        <w:t>Id</w:t>
      </w:r>
      <w:r w:rsidR="006D2971">
        <w:rPr>
          <w:rFonts w:eastAsia="Times New Roman" w:cs="Times New Roman"/>
          <w:szCs w:val="24"/>
        </w:rPr>
        <w:t>. at 411.</w:t>
      </w:r>
      <w:proofErr w:type="gramEnd"/>
      <w:r w:rsidR="006D2971">
        <w:rPr>
          <w:rFonts w:eastAsia="Times New Roman" w:cs="Times New Roman"/>
          <w:szCs w:val="24"/>
        </w:rPr>
        <w:t xml:space="preserve"> When Garvey left the company to form </w:t>
      </w:r>
      <w:proofErr w:type="spellStart"/>
      <w:r w:rsidR="006D2971">
        <w:rPr>
          <w:rFonts w:eastAsia="Times New Roman" w:cs="Times New Roman"/>
          <w:szCs w:val="24"/>
        </w:rPr>
        <w:t>Nordisco</w:t>
      </w:r>
      <w:proofErr w:type="spellEnd"/>
      <w:r w:rsidR="006D2971">
        <w:rPr>
          <w:rFonts w:eastAsia="Times New Roman" w:cs="Times New Roman"/>
          <w:szCs w:val="24"/>
        </w:rPr>
        <w:t xml:space="preserve">, a competing office supply business, he maintained many of the commissioned photos and used them in his company’s catalog. </w:t>
      </w:r>
      <w:r w:rsidR="006D2971" w:rsidRPr="00C943F9">
        <w:rPr>
          <w:rFonts w:eastAsia="Times New Roman" w:cs="Times New Roman"/>
          <w:i/>
          <w:szCs w:val="24"/>
        </w:rPr>
        <w:t>Id</w:t>
      </w:r>
      <w:r w:rsidR="006D2971">
        <w:rPr>
          <w:rFonts w:eastAsia="Times New Roman" w:cs="Times New Roman"/>
          <w:szCs w:val="24"/>
        </w:rPr>
        <w:t xml:space="preserve">. </w:t>
      </w:r>
      <w:r w:rsidR="00B543EA">
        <w:rPr>
          <w:rFonts w:eastAsia="Times New Roman" w:cs="Times New Roman"/>
          <w:szCs w:val="24"/>
        </w:rPr>
        <w:t>Years after the creation of the work, and o</w:t>
      </w:r>
      <w:r w:rsidR="006D2971">
        <w:rPr>
          <w:rFonts w:eastAsia="Times New Roman" w:cs="Times New Roman"/>
          <w:szCs w:val="24"/>
        </w:rPr>
        <w:t xml:space="preserve">nly </w:t>
      </w:r>
      <w:r w:rsidR="00B543EA">
        <w:rPr>
          <w:rFonts w:eastAsia="Times New Roman" w:cs="Times New Roman"/>
          <w:szCs w:val="24"/>
        </w:rPr>
        <w:t xml:space="preserve">upon preparation of a potential </w:t>
      </w:r>
      <w:r w:rsidR="006D2971">
        <w:rPr>
          <w:rFonts w:eastAsia="Times New Roman" w:cs="Times New Roman"/>
          <w:szCs w:val="24"/>
        </w:rPr>
        <w:t xml:space="preserve">copyright infringement </w:t>
      </w:r>
      <w:r w:rsidR="00B543EA">
        <w:rPr>
          <w:rFonts w:eastAsia="Times New Roman" w:cs="Times New Roman"/>
          <w:szCs w:val="24"/>
        </w:rPr>
        <w:t xml:space="preserve">suit </w:t>
      </w:r>
      <w:r w:rsidR="006D2971">
        <w:rPr>
          <w:rFonts w:eastAsia="Times New Roman" w:cs="Times New Roman"/>
          <w:szCs w:val="24"/>
        </w:rPr>
        <w:t xml:space="preserve">did the photographer </w:t>
      </w:r>
      <w:r w:rsidR="006D2971">
        <w:t xml:space="preserve">who took the photos on a work-for-hire basis sign a statement agreeing that Schiller and Schmidt owned the copyright. </w:t>
      </w:r>
      <w:proofErr w:type="gramStart"/>
      <w:r w:rsidR="006D2971" w:rsidRPr="00C943F9">
        <w:rPr>
          <w:i/>
        </w:rPr>
        <w:t>Id.</w:t>
      </w:r>
      <w:r w:rsidR="006D2971">
        <w:t xml:space="preserve"> at 412.</w:t>
      </w:r>
      <w:proofErr w:type="gramEnd"/>
    </w:p>
    <w:p w14:paraId="0A87EF8F" w14:textId="77777777" w:rsidR="006D2971" w:rsidRPr="00E446DD" w:rsidRDefault="001D07A8" w:rsidP="00E446DD">
      <w:pPr>
        <w:spacing w:after="200"/>
        <w:ind w:firstLine="720"/>
        <w:rPr>
          <w:rFonts w:eastAsia="Times New Roman" w:cs="Times New Roman"/>
          <w:szCs w:val="24"/>
        </w:rPr>
      </w:pPr>
      <w:r>
        <w:rPr>
          <w:rFonts w:eastAsia="Times New Roman" w:cstheme="minorHAnsi"/>
        </w:rPr>
        <w:t>Th</w:t>
      </w:r>
      <w:r w:rsidR="001A3773">
        <w:rPr>
          <w:rFonts w:eastAsia="Times New Roman" w:cstheme="minorHAnsi"/>
        </w:rPr>
        <w:t>e</w:t>
      </w:r>
      <w:r>
        <w:rPr>
          <w:rFonts w:eastAsia="Times New Roman" w:cstheme="minorHAnsi"/>
        </w:rPr>
        <w:t xml:space="preserve"> case</w:t>
      </w:r>
      <w:r w:rsidR="00162F74">
        <w:rPr>
          <w:rFonts w:eastAsia="Times New Roman" w:cstheme="minorHAnsi"/>
        </w:rPr>
        <w:t xml:space="preserve"> before this court</w:t>
      </w:r>
      <w:r>
        <w:rPr>
          <w:rFonts w:eastAsia="Times New Roman" w:cstheme="minorHAnsi"/>
        </w:rPr>
        <w:t xml:space="preserve"> is similar to </w:t>
      </w:r>
      <w:r w:rsidRPr="001D07A8">
        <w:rPr>
          <w:rFonts w:eastAsia="Times New Roman" w:cstheme="minorHAnsi"/>
          <w:i/>
        </w:rPr>
        <w:t>Playboy</w:t>
      </w:r>
      <w:r w:rsidR="00EF6029">
        <w:rPr>
          <w:rFonts w:eastAsia="Times New Roman" w:cstheme="minorHAnsi"/>
          <w:i/>
        </w:rPr>
        <w:t xml:space="preserve">, Twentieth Century, </w:t>
      </w:r>
      <w:r w:rsidR="00EF6029" w:rsidRPr="00EF6029">
        <w:rPr>
          <w:rFonts w:eastAsia="Times New Roman" w:cstheme="minorHAnsi"/>
        </w:rPr>
        <w:t>and</w:t>
      </w:r>
      <w:r w:rsidR="00EF6029">
        <w:rPr>
          <w:rFonts w:eastAsia="Times New Roman" w:cstheme="minorHAnsi"/>
          <w:i/>
        </w:rPr>
        <w:t xml:space="preserve"> TMTV Corp.</w:t>
      </w:r>
      <w:r w:rsidR="00B543EA" w:rsidRPr="00B543EA">
        <w:rPr>
          <w:rFonts w:eastAsia="Times New Roman" w:cstheme="minorHAnsi"/>
        </w:rPr>
        <w:t xml:space="preserve"> </w:t>
      </w:r>
      <w:r w:rsidR="00DF501C">
        <w:rPr>
          <w:rFonts w:eastAsia="Times New Roman" w:cstheme="minorHAnsi"/>
        </w:rPr>
        <w:t xml:space="preserve">and </w:t>
      </w:r>
      <w:r>
        <w:rPr>
          <w:rFonts w:eastAsia="Times New Roman" w:cstheme="minorHAnsi"/>
        </w:rPr>
        <w:t xml:space="preserve">dissimilar to </w:t>
      </w:r>
      <w:r w:rsidRPr="001D07A8">
        <w:rPr>
          <w:rFonts w:eastAsia="Times New Roman" w:cstheme="minorHAnsi"/>
          <w:i/>
        </w:rPr>
        <w:t>Schiller</w:t>
      </w:r>
      <w:r w:rsidR="00EF6029">
        <w:rPr>
          <w:rFonts w:eastAsia="Times New Roman" w:cstheme="minorHAnsi"/>
        </w:rPr>
        <w:t>.</w:t>
      </w:r>
      <w:r>
        <w:rPr>
          <w:rFonts w:eastAsia="Times New Roman" w:cstheme="minorHAnsi"/>
        </w:rPr>
        <w:t xml:space="preserve"> </w:t>
      </w:r>
      <w:r w:rsidR="006D2971">
        <w:rPr>
          <w:rFonts w:eastAsia="Times New Roman" w:cstheme="minorHAnsi"/>
        </w:rPr>
        <w:t xml:space="preserve">Comparable to </w:t>
      </w:r>
      <w:r w:rsidR="006D2971" w:rsidRPr="00613121">
        <w:rPr>
          <w:rFonts w:eastAsia="Times New Roman" w:cstheme="minorHAnsi"/>
          <w:i/>
        </w:rPr>
        <w:t>Playboy</w:t>
      </w:r>
      <w:r w:rsidR="006D2971">
        <w:rPr>
          <w:rFonts w:eastAsia="Times New Roman" w:cstheme="minorHAnsi"/>
        </w:rPr>
        <w:t xml:space="preserve">, there was a signed agreement between OGS and </w:t>
      </w:r>
      <w:r w:rsidR="006D2971">
        <w:rPr>
          <w:rFonts w:eastAsia="Times New Roman" w:cstheme="minorHAnsi"/>
        </w:rPr>
        <w:lastRenderedPageBreak/>
        <w:t xml:space="preserve">defendant Lime that the commissioned work was to be considered a work-made-for-hire. Additionally, this signed agreement memorialized the parties’ oral intent that Lime would be producing a screenplay on a work-made-for-hire basis. As established in </w:t>
      </w:r>
      <w:r w:rsidR="006D2971" w:rsidRPr="00672893">
        <w:rPr>
          <w:rFonts w:eastAsia="Times New Roman" w:cstheme="minorHAnsi"/>
          <w:i/>
        </w:rPr>
        <w:t>Eden Toys</w:t>
      </w:r>
      <w:r w:rsidR="006D2971">
        <w:rPr>
          <w:rFonts w:eastAsia="Times New Roman" w:cstheme="minorHAnsi"/>
        </w:rPr>
        <w:t xml:space="preserve">, this </w:t>
      </w:r>
      <w:r w:rsidR="00137BA7">
        <w:rPr>
          <w:rFonts w:eastAsia="Times New Roman" w:cstheme="minorHAnsi"/>
        </w:rPr>
        <w:t>identified the owner of the copyright</w:t>
      </w:r>
      <w:r w:rsidR="006D2971">
        <w:rPr>
          <w:rFonts w:eastAsia="Times New Roman" w:cstheme="minorHAnsi"/>
        </w:rPr>
        <w:t xml:space="preserve">. </w:t>
      </w:r>
      <w:r w:rsidR="00904EAD">
        <w:rPr>
          <w:rFonts w:eastAsia="Times New Roman" w:cstheme="minorHAnsi"/>
          <w:i/>
        </w:rPr>
        <w:t xml:space="preserve">See </w:t>
      </w:r>
      <w:r w:rsidR="006D2971" w:rsidRPr="00B83E0F">
        <w:rPr>
          <w:rFonts w:eastAsia="Times New Roman" w:cstheme="minorHAnsi"/>
        </w:rPr>
        <w:t xml:space="preserve">697 F.2d </w:t>
      </w:r>
      <w:r w:rsidR="006D2971">
        <w:rPr>
          <w:rFonts w:eastAsia="Times New Roman" w:cstheme="minorHAnsi"/>
        </w:rPr>
        <w:t xml:space="preserve">at 37.  It is also significant to note that the signed writing was executed soon after the screenplay was produced. This is in line with both </w:t>
      </w:r>
      <w:r w:rsidR="006D2971" w:rsidRPr="00672893">
        <w:rPr>
          <w:rFonts w:eastAsia="Times New Roman" w:cstheme="minorHAnsi"/>
          <w:i/>
        </w:rPr>
        <w:t>TMTV</w:t>
      </w:r>
      <w:r w:rsidR="006D2971">
        <w:rPr>
          <w:rFonts w:eastAsia="Times New Roman" w:cstheme="minorHAnsi"/>
        </w:rPr>
        <w:t xml:space="preserve"> from the First Circuit and </w:t>
      </w:r>
      <w:r w:rsidR="006D2971">
        <w:rPr>
          <w:rFonts w:eastAsia="Times New Roman" w:cstheme="minorHAnsi"/>
          <w:i/>
        </w:rPr>
        <w:t xml:space="preserve">Playboy </w:t>
      </w:r>
      <w:r w:rsidR="006D2971">
        <w:rPr>
          <w:rFonts w:eastAsia="Times New Roman" w:cstheme="minorHAnsi"/>
        </w:rPr>
        <w:t>from the Second where the contracting parties executed an agreement upon completion of the work-for-hire</w:t>
      </w:r>
      <w:r w:rsidR="006D2971">
        <w:rPr>
          <w:rFonts w:eastAsia="Times New Roman" w:cstheme="minorHAnsi"/>
          <w:i/>
        </w:rPr>
        <w:t>.</w:t>
      </w:r>
      <w:r w:rsidR="00206399">
        <w:rPr>
          <w:rFonts w:eastAsia="Times New Roman" w:cstheme="minorHAnsi"/>
        </w:rPr>
        <w:t xml:space="preserve"> </w:t>
      </w:r>
      <w:proofErr w:type="gramStart"/>
      <w:r w:rsidR="00206399" w:rsidRPr="00206399">
        <w:rPr>
          <w:rFonts w:eastAsia="Times New Roman" w:cstheme="minorHAnsi"/>
          <w:i/>
        </w:rPr>
        <w:t>Id</w:t>
      </w:r>
      <w:r w:rsidR="00206399">
        <w:rPr>
          <w:rFonts w:eastAsia="Times New Roman" w:cstheme="minorHAnsi"/>
        </w:rPr>
        <w:t>. at 39.</w:t>
      </w:r>
      <w:proofErr w:type="gramEnd"/>
      <w:r w:rsidR="00206399">
        <w:rPr>
          <w:rFonts w:eastAsia="Times New Roman" w:cstheme="minorHAnsi"/>
        </w:rPr>
        <w:t xml:space="preserve"> </w:t>
      </w:r>
      <w:r w:rsidR="006D2971">
        <w:rPr>
          <w:rFonts w:eastAsia="Times New Roman" w:cstheme="minorHAnsi"/>
        </w:rPr>
        <w:t>Dissimilar to the facts</w:t>
      </w:r>
      <w:r w:rsidR="00B450E2">
        <w:rPr>
          <w:rFonts w:eastAsia="Times New Roman" w:cstheme="minorHAnsi"/>
        </w:rPr>
        <w:t xml:space="preserve"> of</w:t>
      </w:r>
      <w:r w:rsidR="006D2971">
        <w:rPr>
          <w:rFonts w:eastAsia="Times New Roman" w:cstheme="minorHAnsi"/>
        </w:rPr>
        <w:t xml:space="preserve"> </w:t>
      </w:r>
      <w:r w:rsidR="006D2971" w:rsidRPr="00672893">
        <w:rPr>
          <w:rFonts w:eastAsia="Times New Roman" w:cstheme="minorHAnsi"/>
          <w:i/>
        </w:rPr>
        <w:t>Schiller</w:t>
      </w:r>
      <w:r w:rsidR="006D2971">
        <w:rPr>
          <w:rFonts w:eastAsia="Times New Roman" w:cstheme="minorHAnsi"/>
        </w:rPr>
        <w:t>, i</w:t>
      </w:r>
      <w:r w:rsidR="00137BA7">
        <w:rPr>
          <w:rFonts w:eastAsia="Times New Roman" w:cstheme="minorHAnsi"/>
        </w:rPr>
        <w:t xml:space="preserve">n our present case there was no </w:t>
      </w:r>
      <w:r w:rsidR="006D2971">
        <w:rPr>
          <w:rFonts w:eastAsia="Times New Roman" w:cstheme="minorHAnsi"/>
        </w:rPr>
        <w:t xml:space="preserve">significant lapse of time between the creation of the work and the execution of the agreement. The agreement between OGS and Lime was signed directly upon completion of the screenplay. Furthermore, as established in the Ninth Circuit, the agreement between Lime and OGS made it clear as to who the ownership of the copyright would be. </w:t>
      </w:r>
      <w:r w:rsidR="006D2971" w:rsidRPr="00D147E5">
        <w:rPr>
          <w:rFonts w:eastAsia="Times New Roman" w:cstheme="minorHAnsi"/>
          <w:i/>
        </w:rPr>
        <w:t>See Twentieth Century</w:t>
      </w:r>
      <w:r w:rsidR="006D2971">
        <w:rPr>
          <w:rFonts w:eastAsia="Times New Roman" w:cstheme="minorHAnsi"/>
        </w:rPr>
        <w:t xml:space="preserve"> </w:t>
      </w:r>
      <w:r w:rsidR="006D2971">
        <w:rPr>
          <w:rFonts w:eastAsia="Times New Roman" w:cs="Times New Roman"/>
          <w:szCs w:val="24"/>
        </w:rPr>
        <w:t xml:space="preserve">429 F.3d at 882. This is in contrast to the facts in </w:t>
      </w:r>
      <w:r w:rsidR="006D2971" w:rsidRPr="003B3798">
        <w:rPr>
          <w:rFonts w:eastAsia="Times New Roman" w:cs="Times New Roman"/>
          <w:i/>
          <w:szCs w:val="24"/>
        </w:rPr>
        <w:t>Schiller</w:t>
      </w:r>
      <w:r w:rsidR="006D2971">
        <w:rPr>
          <w:rFonts w:eastAsia="Times New Roman" w:cs="Times New Roman"/>
          <w:szCs w:val="24"/>
        </w:rPr>
        <w:t xml:space="preserve">, where </w:t>
      </w:r>
      <w:r w:rsidR="001A5DAF">
        <w:rPr>
          <w:rFonts w:eastAsia="Times New Roman" w:cs="Times New Roman"/>
          <w:szCs w:val="24"/>
        </w:rPr>
        <w:t>t</w:t>
      </w:r>
      <w:r w:rsidR="001A5DAF" w:rsidRPr="00807A41">
        <w:rPr>
          <w:rFonts w:eastAsia="Times New Roman" w:cs="Times New Roman"/>
          <w:szCs w:val="24"/>
        </w:rPr>
        <w:t xml:space="preserve">he Seventh Circuit </w:t>
      </w:r>
      <w:r w:rsidR="001A5DAF">
        <w:rPr>
          <w:rFonts w:eastAsia="Times New Roman" w:cs="Times New Roman"/>
          <w:szCs w:val="24"/>
        </w:rPr>
        <w:t>failed to</w:t>
      </w:r>
      <w:r w:rsidR="001A5DAF" w:rsidRPr="00807A41">
        <w:rPr>
          <w:rFonts w:eastAsia="Times New Roman" w:cs="Times New Roman"/>
          <w:szCs w:val="24"/>
        </w:rPr>
        <w:t xml:space="preserve"> acknowledge that predictability and certainty as to copyright ownership can be determined by later signing a written instrument which confirms the parties</w:t>
      </w:r>
      <w:r w:rsidR="001A5DAF">
        <w:rPr>
          <w:rFonts w:eastAsia="Times New Roman" w:cs="Times New Roman"/>
          <w:szCs w:val="24"/>
        </w:rPr>
        <w:t>’</w:t>
      </w:r>
      <w:r w:rsidR="001A5DAF" w:rsidRPr="00807A41">
        <w:rPr>
          <w:rFonts w:eastAsia="Times New Roman" w:cs="Times New Roman"/>
          <w:szCs w:val="24"/>
        </w:rPr>
        <w:t xml:space="preserve"> oral agreements</w:t>
      </w:r>
      <w:r w:rsidR="00206399">
        <w:rPr>
          <w:rFonts w:eastAsia="Times New Roman" w:cs="Times New Roman"/>
          <w:szCs w:val="24"/>
        </w:rPr>
        <w:t>.</w:t>
      </w:r>
    </w:p>
    <w:p w14:paraId="1BFDEA89" w14:textId="77777777" w:rsidR="006D2971" w:rsidRPr="005B037D" w:rsidRDefault="006D2971" w:rsidP="006D2971">
      <w:r>
        <w:rPr>
          <w:rStyle w:val="Strong"/>
          <w:rFonts w:eastAsia="Times New Roman" w:cstheme="minorHAnsi"/>
          <w:b w:val="0"/>
          <w:bCs w:val="0"/>
        </w:rPr>
        <w:tab/>
        <w:t>For these reasons, the Court should follow the weight of case law</w:t>
      </w:r>
      <w:r w:rsidR="00206399">
        <w:rPr>
          <w:rStyle w:val="Strong"/>
          <w:rFonts w:eastAsia="Times New Roman" w:cstheme="minorHAnsi"/>
          <w:b w:val="0"/>
          <w:bCs w:val="0"/>
        </w:rPr>
        <w:t xml:space="preserve"> </w:t>
      </w:r>
      <w:r>
        <w:rPr>
          <w:rStyle w:val="Strong"/>
          <w:rFonts w:eastAsia="Times New Roman" w:cstheme="minorHAnsi"/>
          <w:b w:val="0"/>
          <w:bCs w:val="0"/>
        </w:rPr>
        <w:t xml:space="preserve">and find that the execution of a work-for-hire-agreement between OGS and defendant Lime constitutes a valid contract between the parties. This contract memorialized a prior agreement between the parties that Lime would produce a screenplay on a work-for-hire basis and the written contract </w:t>
      </w:r>
      <w:r w:rsidR="00B450E2">
        <w:rPr>
          <w:rStyle w:val="Strong"/>
          <w:rFonts w:eastAsia="Times New Roman" w:cstheme="minorHAnsi"/>
          <w:b w:val="0"/>
          <w:bCs w:val="0"/>
        </w:rPr>
        <w:t xml:space="preserve">was </w:t>
      </w:r>
      <w:r>
        <w:rPr>
          <w:rStyle w:val="Strong"/>
          <w:rFonts w:eastAsia="Times New Roman" w:cstheme="minorHAnsi"/>
          <w:b w:val="0"/>
          <w:bCs w:val="0"/>
        </w:rPr>
        <w:t xml:space="preserve">entered </w:t>
      </w:r>
      <w:r w:rsidR="00B450E2">
        <w:rPr>
          <w:rStyle w:val="Strong"/>
          <w:rFonts w:eastAsia="Times New Roman" w:cstheme="minorHAnsi"/>
          <w:b w:val="0"/>
          <w:bCs w:val="0"/>
        </w:rPr>
        <w:t>by both parties</w:t>
      </w:r>
      <w:r>
        <w:rPr>
          <w:rStyle w:val="Strong"/>
          <w:rFonts w:eastAsia="Times New Roman" w:cstheme="minorHAnsi"/>
          <w:b w:val="0"/>
          <w:bCs w:val="0"/>
        </w:rPr>
        <w:t xml:space="preserve"> without delay upon completion of the work. </w:t>
      </w:r>
    </w:p>
    <w:p w14:paraId="771B5C56" w14:textId="77777777" w:rsidR="00192998" w:rsidRPr="00192998" w:rsidRDefault="00192998" w:rsidP="00192998">
      <w:pPr>
        <w:pStyle w:val="ListParagraph"/>
        <w:numPr>
          <w:ilvl w:val="0"/>
          <w:numId w:val="2"/>
        </w:numPr>
        <w:spacing w:after="200" w:line="276" w:lineRule="auto"/>
        <w:rPr>
          <w:b/>
        </w:rPr>
      </w:pPr>
      <w:r w:rsidRPr="00192998">
        <w:rPr>
          <w:rFonts w:eastAsia="Times New Roman" w:cstheme="minorHAnsi"/>
          <w:b/>
        </w:rPr>
        <w:t xml:space="preserve">Public Policy Supports the Execution of a Signed Agreement Following the Creation of a Work-Made-For-Hire. </w:t>
      </w:r>
    </w:p>
    <w:p w14:paraId="6FB255E3" w14:textId="77777777" w:rsidR="00192998" w:rsidRDefault="00192998" w:rsidP="00192998">
      <w:pPr>
        <w:spacing w:after="240"/>
        <w:ind w:firstLine="720"/>
        <w:rPr>
          <w:rFonts w:eastAsia="Times New Roman" w:cstheme="minorHAnsi"/>
        </w:rPr>
      </w:pPr>
      <w:r>
        <w:t>Public policy establishes that where uncertainty exists as to who possess</w:t>
      </w:r>
      <w:r w:rsidR="00162F74">
        <w:t>es</w:t>
      </w:r>
      <w:r>
        <w:t xml:space="preserve"> a copyright, the party that assumed the risk of commissioning the work shall hold the ownership rights.</w:t>
      </w:r>
      <w:r w:rsidR="003F3F49">
        <w:t xml:space="preserve"> </w:t>
      </w:r>
      <w:r w:rsidR="003F3F49" w:rsidRPr="003F3F49">
        <w:rPr>
          <w:i/>
        </w:rPr>
        <w:t>See</w:t>
      </w:r>
      <w:r w:rsidR="003F3F49">
        <w:t xml:space="preserve"> </w:t>
      </w:r>
      <w:r w:rsidR="003F3F49" w:rsidRPr="00242568">
        <w:rPr>
          <w:i/>
        </w:rPr>
        <w:lastRenderedPageBreak/>
        <w:t>Twentieth Century</w:t>
      </w:r>
      <w:r w:rsidR="003F3F49">
        <w:rPr>
          <w:i/>
        </w:rPr>
        <w:t xml:space="preserve"> </w:t>
      </w:r>
      <w:r w:rsidR="003F3F49">
        <w:rPr>
          <w:rFonts w:eastAsia="Times New Roman" w:cs="Times New Roman"/>
          <w:szCs w:val="24"/>
        </w:rPr>
        <w:t xml:space="preserve">429 F.3d </w:t>
      </w:r>
      <w:r w:rsidR="003F3F49">
        <w:rPr>
          <w:rFonts w:eastAsia="Times New Roman" w:cstheme="minorHAnsi"/>
        </w:rPr>
        <w:t>at 881</w:t>
      </w:r>
      <w:r w:rsidR="003F3F49">
        <w:t xml:space="preserve">. </w:t>
      </w:r>
      <w:r>
        <w:t xml:space="preserve">In </w:t>
      </w:r>
      <w:r w:rsidRPr="00242568">
        <w:rPr>
          <w:i/>
        </w:rPr>
        <w:t>Twentieth Century</w:t>
      </w:r>
      <w:r>
        <w:t>, the Ninth Circuit recognized that a large financial risk is involved in commissioning a work-for-hire</w:t>
      </w:r>
      <w:r>
        <w:rPr>
          <w:rFonts w:eastAsia="Times New Roman" w:cstheme="minorHAnsi"/>
        </w:rPr>
        <w:t xml:space="preserve">. </w:t>
      </w:r>
      <w:r>
        <w:t xml:space="preserve">The Court was presented with a scenario in which Doubleday Publishing commissioned General Eisenhower to write a book. </w:t>
      </w:r>
      <w:proofErr w:type="gramStart"/>
      <w:r w:rsidRPr="00242568">
        <w:rPr>
          <w:i/>
        </w:rPr>
        <w:t>Id.</w:t>
      </w:r>
      <w:r>
        <w:t xml:space="preserve"> at 882.</w:t>
      </w:r>
      <w:proofErr w:type="gramEnd"/>
      <w:r>
        <w:t xml:space="preserve"> </w:t>
      </w:r>
      <w:r w:rsidRPr="008D12DD">
        <w:rPr>
          <w:rFonts w:eastAsia="Times New Roman" w:cstheme="minorHAnsi"/>
        </w:rPr>
        <w:t>Doubleday took on all the financial risk of the book's success, agreeing to pay General Eisenhower a lump sum for writing the book, instead of negotiating a royalty deal.</w:t>
      </w:r>
      <w:r>
        <w:rPr>
          <w:rFonts w:eastAsia="Times New Roman" w:cstheme="minorHAnsi"/>
        </w:rPr>
        <w:t xml:space="preserve"> </w:t>
      </w:r>
      <w:r w:rsidRPr="00242568">
        <w:rPr>
          <w:rFonts w:eastAsia="Times New Roman" w:cstheme="minorHAnsi"/>
          <w:i/>
        </w:rPr>
        <w:t>Id</w:t>
      </w:r>
      <w:r>
        <w:rPr>
          <w:rFonts w:eastAsia="Times New Roman" w:cstheme="minorHAnsi"/>
        </w:rPr>
        <w:t>. The court found, “</w:t>
      </w:r>
      <w:r w:rsidRPr="008D12DD">
        <w:rPr>
          <w:rFonts w:eastAsia="Times New Roman" w:cstheme="minorHAnsi"/>
        </w:rPr>
        <w:t>Where we determine that a work was produced at the instance and expense of another party, we indulge the legal presump</w:t>
      </w:r>
      <w:r>
        <w:rPr>
          <w:rFonts w:eastAsia="Times New Roman" w:cstheme="minorHAnsi"/>
        </w:rPr>
        <w:t>tion that it is a work-for-hire-</w:t>
      </w:r>
      <w:r w:rsidRPr="008D12DD">
        <w:rPr>
          <w:rFonts w:eastAsia="Times New Roman" w:cstheme="minorHAnsi"/>
        </w:rPr>
        <w:t xml:space="preserve">that the copyright lies </w:t>
      </w:r>
      <w:proofErr w:type="spellStart"/>
      <w:r w:rsidRPr="008D12DD">
        <w:rPr>
          <w:rFonts w:eastAsia="Times New Roman" w:cstheme="minorHAnsi"/>
          <w:i/>
          <w:iCs/>
        </w:rPr>
        <w:t>ab</w:t>
      </w:r>
      <w:proofErr w:type="spellEnd"/>
      <w:r w:rsidRPr="008D12DD">
        <w:rPr>
          <w:rFonts w:eastAsia="Times New Roman" w:cstheme="minorHAnsi"/>
          <w:i/>
          <w:iCs/>
        </w:rPr>
        <w:t xml:space="preserve"> initio</w:t>
      </w:r>
      <w:r w:rsidRPr="008D12DD">
        <w:rPr>
          <w:rFonts w:eastAsia="Times New Roman" w:cstheme="minorHAnsi"/>
        </w:rPr>
        <w:t xml:space="preserve"> with the commissioning party.</w:t>
      </w:r>
      <w:r>
        <w:rPr>
          <w:rFonts w:eastAsia="Times New Roman" w:cstheme="minorHAnsi"/>
        </w:rPr>
        <w:t xml:space="preserve">” </w:t>
      </w:r>
      <w:proofErr w:type="gramStart"/>
      <w:r w:rsidRPr="00242568">
        <w:rPr>
          <w:rFonts w:eastAsia="Times New Roman" w:cstheme="minorHAnsi"/>
          <w:i/>
        </w:rPr>
        <w:t>Id.</w:t>
      </w:r>
      <w:r>
        <w:rPr>
          <w:rFonts w:eastAsia="Times New Roman" w:cstheme="minorHAnsi"/>
        </w:rPr>
        <w:t xml:space="preserve"> at 881.</w:t>
      </w:r>
      <w:proofErr w:type="gramEnd"/>
      <w:r>
        <w:rPr>
          <w:rFonts w:eastAsia="Times New Roman" w:cstheme="minorHAnsi"/>
        </w:rPr>
        <w:t xml:space="preserve"> </w:t>
      </w:r>
    </w:p>
    <w:p w14:paraId="2795CF0A" w14:textId="77777777" w:rsidR="00192998" w:rsidRDefault="00192998" w:rsidP="00192998">
      <w:pPr>
        <w:spacing w:after="240"/>
        <w:ind w:firstLine="720"/>
      </w:pPr>
      <w:r>
        <w:t xml:space="preserve">The facts in our present case mirror those of </w:t>
      </w:r>
      <w:r w:rsidRPr="00242568">
        <w:rPr>
          <w:i/>
        </w:rPr>
        <w:t>Twentieth Century</w:t>
      </w:r>
      <w:r>
        <w:t xml:space="preserve"> in that OGS TV agreed to pay-out a lump sum of money upon the completion of the work</w:t>
      </w:r>
      <w:r w:rsidR="00162F74">
        <w:t>,</w:t>
      </w:r>
      <w:r>
        <w:t xml:space="preserve"> assuming the risk that Lime may not create a screenplay appropriate for use in its television series </w:t>
      </w:r>
      <w:r w:rsidRPr="00160F65">
        <w:rPr>
          <w:i/>
        </w:rPr>
        <w:t>Lawless Love</w:t>
      </w:r>
      <w:r>
        <w:t xml:space="preserve">.  Because OGS TV assumed this risk, it should be afforded legal protection as the commissioning party. </w:t>
      </w:r>
      <w:r w:rsidR="00137BA7">
        <w:t>In accordance with</w:t>
      </w:r>
      <w:r>
        <w:t xml:space="preserve"> 17 U.S.C. </w:t>
      </w:r>
      <w:r>
        <w:rPr>
          <w:rFonts w:cs="Times New Roman"/>
        </w:rPr>
        <w:t>§</w:t>
      </w:r>
      <w:r>
        <w:t xml:space="preserve"> </w:t>
      </w:r>
      <w:r w:rsidR="00632549">
        <w:t>101</w:t>
      </w:r>
      <w:r>
        <w:t xml:space="preserve">, OGS and Lime expressly agreed in a signed writing that OGS would own all rights to the screenplay. Assuming </w:t>
      </w:r>
      <w:r w:rsidRPr="00E66728">
        <w:rPr>
          <w:i/>
        </w:rPr>
        <w:t>arguendo</w:t>
      </w:r>
      <w:r>
        <w:t xml:space="preserve">, that this agreement was insufficient to clarify which party possesses the copyright, public policy dictates that OGS, having commissioned the work at its risk and expense holds ownership rights. </w:t>
      </w:r>
    </w:p>
    <w:p w14:paraId="393489ED" w14:textId="77777777" w:rsidR="00192998" w:rsidRPr="003F3F49" w:rsidRDefault="00192998" w:rsidP="003F3F49">
      <w:pPr>
        <w:spacing w:after="200"/>
        <w:ind w:firstLine="720"/>
        <w:rPr>
          <w:rFonts w:eastAsia="Times New Roman" w:cs="Times New Roman"/>
          <w:szCs w:val="24"/>
        </w:rPr>
      </w:pPr>
      <w:r>
        <w:t>Public policy similarly prescribes that the intent of contracting parties</w:t>
      </w:r>
      <w:r w:rsidR="00074FBA">
        <w:t xml:space="preserve"> within a profession</w:t>
      </w:r>
      <w:r>
        <w:t xml:space="preserve"> may be established th</w:t>
      </w:r>
      <w:r w:rsidR="00074FBA">
        <w:t xml:space="preserve">rough their course of dealings. </w:t>
      </w:r>
      <w:proofErr w:type="gramStart"/>
      <w:r w:rsidR="00074FBA" w:rsidRPr="00074FBA">
        <w:rPr>
          <w:rFonts w:eastAsia="Times New Roman" w:cs="Times New Roman"/>
          <w:i/>
          <w:szCs w:val="24"/>
        </w:rPr>
        <w:t>Horne v. Patton</w:t>
      </w:r>
      <w:r w:rsidR="00BC77A3">
        <w:rPr>
          <w:rFonts w:eastAsia="Times New Roman" w:cs="Times New Roman"/>
          <w:szCs w:val="24"/>
        </w:rPr>
        <w:t>, 291 Ala. 701,708</w:t>
      </w:r>
      <w:r w:rsidR="00074FBA" w:rsidRPr="00074FBA">
        <w:rPr>
          <w:rFonts w:eastAsia="Times New Roman" w:cs="Times New Roman"/>
          <w:szCs w:val="24"/>
        </w:rPr>
        <w:t>(1973)</w:t>
      </w:r>
      <w:r w:rsidR="003F3F49">
        <w:rPr>
          <w:rFonts w:eastAsia="Times New Roman" w:cs="Times New Roman"/>
          <w:szCs w:val="24"/>
        </w:rPr>
        <w:t>.</w:t>
      </w:r>
      <w:proofErr w:type="gramEnd"/>
      <w:r w:rsidR="003F3F49">
        <w:rPr>
          <w:rFonts w:eastAsia="Times New Roman" w:cs="Times New Roman"/>
          <w:szCs w:val="24"/>
        </w:rPr>
        <w:t xml:space="preserve"> </w:t>
      </w:r>
      <w:r>
        <w:t>The intent of the contracting parties is affirmed by allowing them to effectuate their verbal agreements in written form upon completion of the commissioned work. “If both parties agree as to their intent, the court will merely validate their agreement, as opposed to voiding it if there is no writing beforehand.</w:t>
      </w:r>
      <w:r w:rsidRPr="00555D5C">
        <w:rPr>
          <w:vertAlign w:val="superscript"/>
        </w:rPr>
        <w:t xml:space="preserve"> </w:t>
      </w:r>
      <w:r>
        <w:t>This effectuates the intent of the parties, and also aides any other third parties that may have relied on oral agreements.”</w:t>
      </w:r>
      <w:r w:rsidRPr="00555D5C">
        <w:rPr>
          <w:b/>
        </w:rPr>
        <w:t xml:space="preserve"> </w:t>
      </w:r>
      <w:r>
        <w:t xml:space="preserve">Carolyn Salzmann, </w:t>
      </w:r>
      <w:r w:rsidRPr="00555D5C">
        <w:rPr>
          <w:rFonts w:eastAsia="Times New Roman" w:cstheme="minorHAnsi"/>
          <w:i/>
        </w:rPr>
        <w:t xml:space="preserve">You Commissioned It, You </w:t>
      </w:r>
      <w:r w:rsidRPr="00555D5C">
        <w:rPr>
          <w:rFonts w:eastAsia="Times New Roman" w:cstheme="minorHAnsi"/>
          <w:i/>
        </w:rPr>
        <w:lastRenderedPageBreak/>
        <w:t>Bought It, but Do You Own It? The Work for Hire: Why Is Something So Simple, So Complicated</w:t>
      </w:r>
      <w:proofErr w:type="gramStart"/>
      <w:r w:rsidRPr="00555D5C">
        <w:rPr>
          <w:rFonts w:eastAsia="Times New Roman" w:cstheme="minorHAnsi"/>
          <w:i/>
        </w:rPr>
        <w:t>?</w:t>
      </w:r>
      <w:r w:rsidRPr="00555D5C">
        <w:rPr>
          <w:rFonts w:eastAsia="Times New Roman" w:cstheme="minorHAnsi"/>
        </w:rPr>
        <w:t>,</w:t>
      </w:r>
      <w:proofErr w:type="gramEnd"/>
      <w:r w:rsidRPr="00555D5C">
        <w:rPr>
          <w:rFonts w:eastAsia="Times New Roman" w:cstheme="minorHAnsi"/>
        </w:rPr>
        <w:t xml:space="preserve"> 31 U. </w:t>
      </w:r>
      <w:proofErr w:type="spellStart"/>
      <w:r w:rsidRPr="00555D5C">
        <w:rPr>
          <w:rFonts w:eastAsia="Times New Roman" w:cstheme="minorHAnsi"/>
        </w:rPr>
        <w:t>Tol</w:t>
      </w:r>
      <w:proofErr w:type="spellEnd"/>
      <w:r w:rsidRPr="00555D5C">
        <w:rPr>
          <w:rFonts w:eastAsia="Times New Roman" w:cstheme="minorHAnsi"/>
        </w:rPr>
        <w:t>. L. Rev. 497, 522 (2000).</w:t>
      </w:r>
    </w:p>
    <w:p w14:paraId="2F9C1407" w14:textId="77777777" w:rsidR="00E446DD" w:rsidRDefault="00192998" w:rsidP="00192998">
      <w:pPr>
        <w:ind w:firstLine="720"/>
        <w:rPr>
          <w:rFonts w:eastAsia="Times New Roman" w:cstheme="minorHAnsi"/>
        </w:rPr>
      </w:pPr>
      <w:r>
        <w:rPr>
          <w:rFonts w:eastAsia="Times New Roman" w:cs="Times New Roman"/>
          <w:szCs w:val="24"/>
        </w:rPr>
        <w:t xml:space="preserve">In practice, </w:t>
      </w:r>
      <w:r>
        <w:t>where there is uncertainty with ownership, the court should look to who has acted as an owner of th</w:t>
      </w:r>
      <w:r w:rsidR="00137BA7">
        <w:t>e copyright would typically act</w:t>
      </w:r>
      <w:r>
        <w:t>.</w:t>
      </w:r>
      <w:r w:rsidR="003F3F49">
        <w:t xml:space="preserve"> </w:t>
      </w:r>
      <w:r w:rsidR="003F3F49" w:rsidRPr="003F3F49">
        <w:rPr>
          <w:i/>
        </w:rPr>
        <w:t>See Id</w:t>
      </w:r>
      <w:r w:rsidR="003F3F49">
        <w:t xml:space="preserve">. </w:t>
      </w:r>
      <w:r>
        <w:t xml:space="preserve">In </w:t>
      </w:r>
      <w:r>
        <w:rPr>
          <w:rFonts w:eastAsia="Times New Roman" w:cstheme="minorHAnsi"/>
          <w:i/>
        </w:rPr>
        <w:t xml:space="preserve">Twentieth Century, </w:t>
      </w:r>
      <w:r>
        <w:rPr>
          <w:rFonts w:eastAsia="Times New Roman" w:cstheme="minorHAnsi"/>
        </w:rPr>
        <w:t xml:space="preserve">the court found that </w:t>
      </w:r>
      <w:r w:rsidRPr="007109B2">
        <w:rPr>
          <w:rFonts w:eastAsia="Times New Roman" w:cstheme="minorHAnsi"/>
        </w:rPr>
        <w:t>Doubleday acted in a manner consistent with its</w:t>
      </w:r>
      <w:r w:rsidR="00137BA7">
        <w:rPr>
          <w:rFonts w:eastAsia="Times New Roman" w:cstheme="minorHAnsi"/>
        </w:rPr>
        <w:t xml:space="preserve"> status as the copyright owner, </w:t>
      </w:r>
      <w:r>
        <w:rPr>
          <w:rFonts w:eastAsia="Times New Roman" w:cstheme="minorHAnsi"/>
        </w:rPr>
        <w:t>“</w:t>
      </w:r>
      <w:r w:rsidRPr="007109B2">
        <w:rPr>
          <w:rFonts w:eastAsia="Times New Roman" w:cstheme="minorHAnsi"/>
        </w:rPr>
        <w:t>When it renewed the copyright in 1975, Doubleday listed itself as the proprietor of th</w:t>
      </w:r>
      <w:r>
        <w:rPr>
          <w:rFonts w:eastAsia="Times New Roman" w:cstheme="minorHAnsi"/>
        </w:rPr>
        <w:t xml:space="preserve">e copyright as a work-for-hire.” </w:t>
      </w:r>
      <w:proofErr w:type="gramStart"/>
      <w:r w:rsidRPr="0075745B">
        <w:rPr>
          <w:rFonts w:eastAsia="Times New Roman" w:cstheme="minorHAnsi"/>
        </w:rPr>
        <w:t>429 F.3d 869, 882 (9th Cir. 2005</w:t>
      </w:r>
      <w:r>
        <w:rPr>
          <w:rFonts w:eastAsia="Times New Roman" w:cstheme="minorHAnsi"/>
        </w:rPr>
        <w:t>).</w:t>
      </w:r>
      <w:proofErr w:type="gramEnd"/>
      <w:r>
        <w:rPr>
          <w:rFonts w:eastAsia="Times New Roman" w:cstheme="minorHAnsi"/>
        </w:rPr>
        <w:t xml:space="preserve"> </w:t>
      </w:r>
    </w:p>
    <w:p w14:paraId="11B91C99" w14:textId="77777777" w:rsidR="00192998" w:rsidRDefault="00192998" w:rsidP="00192998">
      <w:pPr>
        <w:ind w:firstLine="720"/>
        <w:rPr>
          <w:rFonts w:eastAsia="Times New Roman" w:cstheme="minorHAnsi"/>
        </w:rPr>
      </w:pPr>
      <w:r>
        <w:rPr>
          <w:rFonts w:eastAsia="Times New Roman" w:cs="Times New Roman"/>
          <w:szCs w:val="24"/>
        </w:rPr>
        <w:t>Although title of a copyright may be easily established through the parties’ course of dealings, i</w:t>
      </w:r>
      <w:r>
        <w:rPr>
          <w:rFonts w:eastAsia="Times New Roman" w:cstheme="minorHAnsi"/>
        </w:rPr>
        <w:t xml:space="preserve">t must be acknowledged that the common understandings of ‘employment’ and ‘work-for-hire’ may vary from their use in the statute. This being the case, </w:t>
      </w:r>
      <w:r w:rsidR="00137BA7">
        <w:t>“</w:t>
      </w:r>
      <w:r w:rsidRPr="000E40A8">
        <w:rPr>
          <w:rFonts w:eastAsia="Times New Roman" w:cstheme="minorHAnsi"/>
        </w:rPr>
        <w:t>[W]</w:t>
      </w:r>
      <w:r w:rsidR="00137BA7">
        <w:rPr>
          <w:rFonts w:eastAsia="Times New Roman" w:cstheme="minorHAnsi"/>
        </w:rPr>
        <w:t xml:space="preserve">hen one person engages another </w:t>
      </w:r>
      <w:r w:rsidRPr="000E40A8">
        <w:rPr>
          <w:rFonts w:eastAsia="Times New Roman" w:cstheme="minorHAnsi"/>
        </w:rPr>
        <w:t>to produce a work of an artistic nature, that in the absence of an express contractual reservation of the copyright in the artist, the presumption arises that the mutual intent of the parties is that the title to the copyright shall be in the person at whose instance and expense the work is done.</w:t>
      </w:r>
      <w:r>
        <w:rPr>
          <w:rFonts w:eastAsia="Times New Roman" w:cstheme="minorHAnsi"/>
        </w:rPr>
        <w:t>”</w:t>
      </w:r>
      <w:r>
        <w:rPr>
          <w:rFonts w:eastAsia="Times New Roman" w:cs="Times New Roman"/>
          <w:szCs w:val="24"/>
        </w:rPr>
        <w:t xml:space="preserve"> </w:t>
      </w:r>
      <w:proofErr w:type="gramStart"/>
      <w:r w:rsidRPr="000E40A8">
        <w:rPr>
          <w:rFonts w:eastAsia="Times New Roman" w:cstheme="minorHAnsi"/>
          <w:i/>
        </w:rPr>
        <w:t xml:space="preserve">Lin-Brook Builders Hardware v. </w:t>
      </w:r>
      <w:proofErr w:type="spellStart"/>
      <w:r w:rsidRPr="000E40A8">
        <w:rPr>
          <w:rFonts w:eastAsia="Times New Roman" w:cstheme="minorHAnsi"/>
          <w:i/>
        </w:rPr>
        <w:t>Gertler</w:t>
      </w:r>
      <w:proofErr w:type="spellEnd"/>
      <w:r w:rsidRPr="000E40A8">
        <w:rPr>
          <w:rFonts w:eastAsia="Times New Roman" w:cstheme="minorHAnsi"/>
        </w:rPr>
        <w:t>, 352 F</w:t>
      </w:r>
      <w:r>
        <w:rPr>
          <w:rFonts w:eastAsia="Times New Roman" w:cstheme="minorHAnsi"/>
        </w:rPr>
        <w:t>.2d 298, 300 (9th Cir. 1965).</w:t>
      </w:r>
      <w:proofErr w:type="gramEnd"/>
      <w:r>
        <w:rPr>
          <w:rFonts w:eastAsia="Times New Roman" w:cstheme="minorHAnsi"/>
        </w:rPr>
        <w:t xml:space="preserve"> </w:t>
      </w:r>
      <w:r w:rsidR="00A63BA4">
        <w:rPr>
          <w:rFonts w:eastAsia="Times New Roman" w:cstheme="minorHAnsi"/>
        </w:rPr>
        <w:t xml:space="preserve">As such, industry custom clarifies persisting ambiguities and </w:t>
      </w:r>
      <w:r w:rsidR="00A63BA4">
        <w:t xml:space="preserve">provides a setting within which </w:t>
      </w:r>
      <w:r w:rsidR="00A63BA4" w:rsidRPr="00AA3AD4">
        <w:t>each party</w:t>
      </w:r>
      <w:r w:rsidR="00A63BA4">
        <w:t xml:space="preserve"> is aware of its duties and obligations. </w:t>
      </w:r>
      <w:r w:rsidR="00A63BA4" w:rsidRPr="00A63BA4">
        <w:rPr>
          <w:i/>
        </w:rPr>
        <w:t>Id</w:t>
      </w:r>
      <w:r w:rsidR="00A63BA4">
        <w:t xml:space="preserve">. </w:t>
      </w:r>
    </w:p>
    <w:p w14:paraId="058ADB13" w14:textId="77777777" w:rsidR="00C83E32" w:rsidRDefault="00192998" w:rsidP="00E446DD">
      <w:pPr>
        <w:ind w:firstLine="720"/>
      </w:pPr>
      <w:r>
        <w:rPr>
          <w:rFonts w:eastAsia="Times New Roman" w:cstheme="minorHAnsi"/>
        </w:rPr>
        <w:t xml:space="preserve">In the present case, both industry custom and </w:t>
      </w:r>
      <w:r>
        <w:t xml:space="preserve">the parties’ course of dealings establish that OGS acted as the rightful owner of the copyright. Moreover, since there was no express contractual reservation that Lime would retain the copyright, the presumption arises that the title of the copyright shall be in OGS because the screenplay was created at OGS’ instance and expense.  Reading the statute to require a signed contract between the parties which allocates copyrights to the work prior to its creation is in contention with industry custom. It is both logical and customary for the title of a copyright to be allocated once it has been created. </w:t>
      </w:r>
      <w:r>
        <w:lastRenderedPageBreak/>
        <w:t xml:space="preserve">Accordingly, a strict rule requiring parties to execute a signed writing that transfers ownership rights before a work has been created would result in a clear disjunction. </w:t>
      </w:r>
    </w:p>
    <w:p w14:paraId="3B0311F0" w14:textId="77777777" w:rsidR="00B543EA" w:rsidRDefault="00192998" w:rsidP="00C83E32">
      <w:pPr>
        <w:spacing w:line="240" w:lineRule="auto"/>
        <w:ind w:left="720" w:firstLine="720"/>
        <w:rPr>
          <w:rFonts w:eastAsia="Times New Roman" w:cstheme="minorHAnsi"/>
        </w:rPr>
      </w:pPr>
      <w:r>
        <w:t>“</w:t>
      </w:r>
      <w:r w:rsidRPr="00A2344A">
        <w:rPr>
          <w:rFonts w:eastAsia="Times New Roman" w:cstheme="minorHAnsi"/>
        </w:rPr>
        <w:t>For contracting parties that agree in advance that a work is to be classified as a work for hire, but for whatever reason fail to reduce this to writing until after the work is created, a bright line rule would cause a great deal of frustration.</w:t>
      </w:r>
      <w:r w:rsidRPr="00A2344A">
        <w:rPr>
          <w:rFonts w:eastAsia="Times New Roman" w:cstheme="minorHAnsi"/>
          <w:vertAlign w:val="superscript"/>
        </w:rPr>
        <w:t xml:space="preserve"> </w:t>
      </w:r>
      <w:r w:rsidRPr="00A2344A">
        <w:rPr>
          <w:rFonts w:eastAsia="Times New Roman" w:cstheme="minorHAnsi"/>
        </w:rPr>
        <w:t>This is also true for parties that through their course of dealing have an implicit understanding that all works created by the author will be considered works for hire for copyright purposes.</w:t>
      </w:r>
      <w:r>
        <w:rPr>
          <w:rFonts w:eastAsia="Times New Roman" w:cstheme="minorHAnsi"/>
        </w:rPr>
        <w:t>”</w:t>
      </w:r>
      <w:r w:rsidRPr="00A2344A">
        <w:rPr>
          <w:rFonts w:eastAsia="Times New Roman" w:cstheme="minorHAnsi"/>
        </w:rPr>
        <w:t xml:space="preserve"> </w:t>
      </w:r>
      <w:proofErr w:type="gramStart"/>
      <w:r w:rsidRPr="009B19C3">
        <w:rPr>
          <w:rFonts w:eastAsia="Times New Roman" w:cstheme="minorHAnsi"/>
          <w:i/>
        </w:rPr>
        <w:t>Id.</w:t>
      </w:r>
      <w:r w:rsidRPr="009B19C3">
        <w:rPr>
          <w:rFonts w:eastAsia="Times New Roman" w:cstheme="minorHAnsi"/>
        </w:rPr>
        <w:t xml:space="preserve"> </w:t>
      </w:r>
      <w:r>
        <w:rPr>
          <w:rFonts w:eastAsia="Times New Roman" w:cstheme="minorHAnsi"/>
        </w:rPr>
        <w:t xml:space="preserve">at </w:t>
      </w:r>
      <w:r w:rsidRPr="009B19C3">
        <w:rPr>
          <w:rFonts w:eastAsia="Times New Roman" w:cstheme="minorHAnsi"/>
        </w:rPr>
        <w:t>519</w:t>
      </w:r>
      <w:r>
        <w:rPr>
          <w:rFonts w:eastAsia="Times New Roman" w:cstheme="minorHAnsi"/>
        </w:rPr>
        <w:t>.</w:t>
      </w:r>
      <w:proofErr w:type="gramEnd"/>
      <w:r>
        <w:rPr>
          <w:rFonts w:eastAsia="Times New Roman" w:cstheme="minorHAnsi"/>
        </w:rPr>
        <w:t xml:space="preserve"> </w:t>
      </w:r>
    </w:p>
    <w:p w14:paraId="7FD3FA34" w14:textId="77777777" w:rsidR="00C83E32" w:rsidRPr="00E446DD" w:rsidRDefault="00C83E32" w:rsidP="00C83E32">
      <w:pPr>
        <w:spacing w:line="240" w:lineRule="auto"/>
        <w:ind w:left="720" w:firstLine="720"/>
      </w:pPr>
    </w:p>
    <w:p w14:paraId="02328AD1" w14:textId="77777777" w:rsidR="009F0751" w:rsidRDefault="00192998" w:rsidP="009F0751">
      <w:pPr>
        <w:ind w:firstLine="720"/>
        <w:rPr>
          <w:rFonts w:eastAsia="Times New Roman" w:cstheme="minorHAnsi"/>
        </w:rPr>
      </w:pPr>
      <w:r>
        <w:rPr>
          <w:rFonts w:eastAsia="Times New Roman" w:cstheme="minorHAnsi"/>
        </w:rPr>
        <w:t xml:space="preserve">In order to avoid a rule that </w:t>
      </w:r>
      <w:r w:rsidR="00B543EA">
        <w:rPr>
          <w:rFonts w:eastAsia="Times New Roman" w:cstheme="minorHAnsi"/>
        </w:rPr>
        <w:t>emphasizes the timing of a signed agreement as opposed to the intent and understanding of the parties</w:t>
      </w:r>
      <w:r w:rsidR="00C83E32">
        <w:rPr>
          <w:rFonts w:eastAsia="Times New Roman" w:cstheme="minorHAnsi"/>
        </w:rPr>
        <w:t xml:space="preserve">, </w:t>
      </w:r>
      <w:r>
        <w:rPr>
          <w:rFonts w:eastAsia="Times New Roman" w:cstheme="minorHAnsi"/>
        </w:rPr>
        <w:t>the court should find that a post-creat</w:t>
      </w:r>
      <w:r w:rsidR="00A63BA4">
        <w:rPr>
          <w:rFonts w:eastAsia="Times New Roman" w:cstheme="minorHAnsi"/>
        </w:rPr>
        <w:t>ion writing which reaffirms the</w:t>
      </w:r>
      <w:r>
        <w:rPr>
          <w:rFonts w:eastAsia="Times New Roman" w:cstheme="minorHAnsi"/>
        </w:rPr>
        <w:t xml:space="preserve"> parties’ intentions is sufficient to allocate ownership rights. Allowing parties to freely contract and rely on their dealings with one another in a particular industry is good public policy. </w:t>
      </w:r>
    </w:p>
    <w:p w14:paraId="68041305" w14:textId="77777777" w:rsidR="00E446DD" w:rsidRDefault="00877F80" w:rsidP="00E446DD">
      <w:pPr>
        <w:jc w:val="center"/>
        <w:rPr>
          <w:rFonts w:eastAsia="Times New Roman" w:cstheme="minorHAnsi"/>
        </w:rPr>
      </w:pPr>
      <w:r w:rsidRPr="002139B5">
        <w:rPr>
          <w:b/>
        </w:rPr>
        <w:t>CONCLUSION</w:t>
      </w:r>
    </w:p>
    <w:p w14:paraId="7F5A8F44" w14:textId="77777777" w:rsidR="002139B5" w:rsidRPr="00E446DD" w:rsidRDefault="00BF7FF4" w:rsidP="00E446DD">
      <w:pPr>
        <w:ind w:firstLine="720"/>
        <w:rPr>
          <w:rFonts w:eastAsia="Times New Roman" w:cstheme="minorHAnsi"/>
        </w:rPr>
      </w:pPr>
      <w:r>
        <w:rPr>
          <w:rFonts w:eastAsia="Times New Roman" w:cs="Times New Roman"/>
          <w:szCs w:val="24"/>
        </w:rPr>
        <w:t>T</w:t>
      </w:r>
      <w:r w:rsidR="00877F80" w:rsidRPr="00877F80">
        <w:rPr>
          <w:rFonts w:eastAsia="Times New Roman" w:cs="Times New Roman"/>
          <w:szCs w:val="24"/>
        </w:rPr>
        <w:t xml:space="preserve">he court should </w:t>
      </w:r>
      <w:r w:rsidR="00100DD3">
        <w:rPr>
          <w:rFonts w:eastAsia="Times New Roman" w:cs="Times New Roman"/>
          <w:szCs w:val="24"/>
        </w:rPr>
        <w:t>deny defendants’</w:t>
      </w:r>
      <w:r w:rsidR="00877F80" w:rsidRPr="00877F80">
        <w:rPr>
          <w:rFonts w:eastAsia="Times New Roman" w:cs="Times New Roman"/>
          <w:szCs w:val="24"/>
        </w:rPr>
        <w:t xml:space="preserve"> motion </w:t>
      </w:r>
      <w:r w:rsidR="00100DD3">
        <w:rPr>
          <w:rFonts w:eastAsia="Times New Roman" w:cs="Times New Roman"/>
          <w:szCs w:val="24"/>
        </w:rPr>
        <w:t>to dismiss. The</w:t>
      </w:r>
      <w:r w:rsidR="00877F80" w:rsidRPr="00877F80">
        <w:rPr>
          <w:rFonts w:eastAsia="Times New Roman" w:cs="Times New Roman"/>
          <w:szCs w:val="24"/>
        </w:rPr>
        <w:t xml:space="preserve"> </w:t>
      </w:r>
      <w:r w:rsidR="00100DD3">
        <w:rPr>
          <w:rFonts w:eastAsia="Times New Roman" w:cs="Times New Roman"/>
          <w:szCs w:val="24"/>
        </w:rPr>
        <w:t>plain language of the statute does not expressly require the parties to sign a written instrument prior to the creation of a work</w:t>
      </w:r>
      <w:r w:rsidR="00877F80" w:rsidRPr="00877F80">
        <w:rPr>
          <w:rFonts w:eastAsia="Times New Roman" w:cs="Times New Roman"/>
          <w:szCs w:val="24"/>
        </w:rPr>
        <w:t xml:space="preserve">.  </w:t>
      </w:r>
      <w:r w:rsidR="00100DD3">
        <w:rPr>
          <w:rFonts w:eastAsia="Times New Roman" w:cs="Times New Roman"/>
          <w:szCs w:val="24"/>
        </w:rPr>
        <w:t>L</w:t>
      </w:r>
      <w:r w:rsidR="005F4873">
        <w:rPr>
          <w:rFonts w:eastAsia="Times New Roman" w:cs="Times New Roman"/>
          <w:szCs w:val="24"/>
        </w:rPr>
        <w:t>ikewise, l</w:t>
      </w:r>
      <w:r w:rsidR="00100DD3">
        <w:rPr>
          <w:rFonts w:eastAsia="Times New Roman" w:cs="Times New Roman"/>
          <w:szCs w:val="24"/>
        </w:rPr>
        <w:t xml:space="preserve">egislative history shows that after discussion on the issue, Congress did not intend for there to be such a requirement. </w:t>
      </w:r>
      <w:r w:rsidR="0075745B">
        <w:rPr>
          <w:rFonts w:eastAsia="Times New Roman" w:cs="Times New Roman"/>
          <w:szCs w:val="24"/>
        </w:rPr>
        <w:t xml:space="preserve">Case law from other jurisdictions overwhelmingly supports the idea that a signed writing can come after the creation of a work-for-hire if it memorializes the intent of the parties, and such a practice also follows industry custom. </w:t>
      </w:r>
      <w:r w:rsidR="00100DD3">
        <w:rPr>
          <w:rFonts w:eastAsia="Times New Roman" w:cs="Times New Roman"/>
          <w:szCs w:val="24"/>
        </w:rPr>
        <w:t xml:space="preserve"> </w:t>
      </w:r>
      <w:r w:rsidR="0075745B">
        <w:rPr>
          <w:rFonts w:eastAsia="Times New Roman" w:cs="Times New Roman"/>
          <w:szCs w:val="24"/>
        </w:rPr>
        <w:t>It is undisputed that Lime verbally agreed that her work would be made</w:t>
      </w:r>
      <w:r w:rsidR="00632549">
        <w:rPr>
          <w:rFonts w:eastAsia="Times New Roman" w:cs="Times New Roman"/>
          <w:szCs w:val="24"/>
        </w:rPr>
        <w:t>-</w:t>
      </w:r>
      <w:r w:rsidR="0075745B">
        <w:rPr>
          <w:rFonts w:eastAsia="Times New Roman" w:cs="Times New Roman"/>
          <w:szCs w:val="24"/>
        </w:rPr>
        <w:t>for</w:t>
      </w:r>
      <w:r w:rsidR="00632549">
        <w:rPr>
          <w:rFonts w:eastAsia="Times New Roman" w:cs="Times New Roman"/>
          <w:szCs w:val="24"/>
        </w:rPr>
        <w:t>-</w:t>
      </w:r>
      <w:r w:rsidR="0075745B">
        <w:rPr>
          <w:rFonts w:eastAsia="Times New Roman" w:cs="Times New Roman"/>
          <w:szCs w:val="24"/>
        </w:rPr>
        <w:t>hire. By signing the work-made-for-hire agreement she agreed to the terms of the contract</w:t>
      </w:r>
      <w:r w:rsidR="00A63BA4">
        <w:rPr>
          <w:rFonts w:eastAsia="Times New Roman" w:cs="Times New Roman"/>
          <w:szCs w:val="24"/>
        </w:rPr>
        <w:t>.  The d</w:t>
      </w:r>
      <w:r w:rsidR="00877F80" w:rsidRPr="00877F80">
        <w:rPr>
          <w:rFonts w:eastAsia="Times New Roman" w:cs="Times New Roman"/>
          <w:szCs w:val="24"/>
        </w:rPr>
        <w:t>efendants are liable for Plaintiff’s injury as a matter of law.</w:t>
      </w:r>
    </w:p>
    <w:p w14:paraId="50371C7D" w14:textId="77777777" w:rsidR="00877F80" w:rsidRPr="00877F80" w:rsidRDefault="00877F80" w:rsidP="003F3F49">
      <w:pPr>
        <w:tabs>
          <w:tab w:val="left" w:pos="5760"/>
        </w:tabs>
        <w:spacing w:before="100" w:beforeAutospacing="1" w:after="100" w:afterAutospacing="1" w:line="240" w:lineRule="auto"/>
        <w:jc w:val="both"/>
        <w:rPr>
          <w:rFonts w:eastAsia="Times New Roman" w:cs="Times New Roman"/>
          <w:szCs w:val="24"/>
        </w:rPr>
      </w:pPr>
      <w:r w:rsidRPr="00877F80">
        <w:rPr>
          <w:rFonts w:eastAsia="Times New Roman" w:cs="Times New Roman"/>
          <w:szCs w:val="24"/>
        </w:rPr>
        <w:t>Dated:  ___</w:t>
      </w:r>
      <w:r w:rsidR="00A63BA4">
        <w:rPr>
          <w:rFonts w:eastAsia="Times New Roman" w:cs="Times New Roman"/>
          <w:szCs w:val="24"/>
        </w:rPr>
        <w:t>3.20.2012__</w:t>
      </w:r>
      <w:r w:rsidRPr="00877F80">
        <w:rPr>
          <w:rFonts w:eastAsia="Times New Roman" w:cs="Times New Roman"/>
          <w:szCs w:val="24"/>
        </w:rPr>
        <w:t>____</w:t>
      </w:r>
      <w:proofErr w:type="gramStart"/>
      <w:r w:rsidRPr="00877F80">
        <w:rPr>
          <w:rFonts w:eastAsia="Times New Roman" w:cs="Times New Roman"/>
          <w:szCs w:val="24"/>
        </w:rPr>
        <w:t>_    </w:t>
      </w:r>
      <w:r w:rsidR="009F0751">
        <w:rPr>
          <w:rFonts w:eastAsia="Times New Roman" w:cs="Times New Roman"/>
          <w:szCs w:val="24"/>
        </w:rPr>
        <w:t xml:space="preserve">                   </w:t>
      </w:r>
      <w:r w:rsidRPr="00877F80">
        <w:rPr>
          <w:rFonts w:eastAsia="Times New Roman" w:cs="Times New Roman"/>
          <w:szCs w:val="24"/>
        </w:rPr>
        <w:t>Respectfully</w:t>
      </w:r>
      <w:proofErr w:type="gramEnd"/>
      <w:r w:rsidRPr="00877F80">
        <w:rPr>
          <w:rFonts w:eastAsia="Times New Roman" w:cs="Times New Roman"/>
          <w:szCs w:val="24"/>
        </w:rPr>
        <w:t xml:space="preserve"> submitted,</w:t>
      </w:r>
    </w:p>
    <w:p w14:paraId="6D4CB9C1" w14:textId="77777777" w:rsidR="00877F80" w:rsidRPr="00877F80" w:rsidRDefault="009C6555" w:rsidP="00F0131F">
      <w:pPr>
        <w:spacing w:line="240" w:lineRule="auto"/>
        <w:ind w:left="3600" w:firstLine="720"/>
        <w:jc w:val="both"/>
        <w:rPr>
          <w:rFonts w:eastAsia="Times New Roman" w:cs="Times New Roman"/>
          <w:szCs w:val="24"/>
        </w:rPr>
      </w:pPr>
      <w:proofErr w:type="gramStart"/>
      <w:r>
        <w:rPr>
          <w:rFonts w:eastAsia="Times New Roman" w:cs="Times New Roman"/>
          <w:szCs w:val="24"/>
          <w:u w:val="single"/>
        </w:rPr>
        <w:t>s</w:t>
      </w:r>
      <w:proofErr w:type="gramEnd"/>
      <w:r w:rsidR="00F0131F">
        <w:rPr>
          <w:rFonts w:eastAsia="Times New Roman" w:cs="Times New Roman"/>
          <w:szCs w:val="24"/>
        </w:rPr>
        <w:t>&lt;redacted&gt;&lt;/redacted&gt;</w:t>
      </w:r>
      <w:bookmarkStart w:id="0" w:name="_GoBack"/>
      <w:bookmarkEnd w:id="0"/>
    </w:p>
    <w:p w14:paraId="337F12DB" w14:textId="77777777" w:rsidR="00D92F99" w:rsidRPr="00BF7FF4" w:rsidRDefault="009F0751" w:rsidP="009C6555">
      <w:pPr>
        <w:spacing w:line="240" w:lineRule="auto"/>
        <w:rPr>
          <w:rFonts w:eastAsia="Times New Roman" w:cs="Times New Roman"/>
          <w:szCs w:val="24"/>
        </w:rPr>
      </w:pPr>
      <w:r>
        <w:rPr>
          <w:rFonts w:eastAsia="Times New Roman" w:cs="Times New Roman"/>
          <w:szCs w:val="24"/>
        </w:rPr>
        <w:t> </w:t>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sidR="00877F80" w:rsidRPr="00877F80">
        <w:rPr>
          <w:rFonts w:eastAsia="Times New Roman" w:cs="Times New Roman"/>
          <w:szCs w:val="24"/>
        </w:rPr>
        <w:t>ATTORNEY FOR PLAINTIFF</w:t>
      </w:r>
      <w:r>
        <w:rPr>
          <w:rFonts w:eastAsia="Times New Roman" w:cs="Times New Roman"/>
          <w:szCs w:val="24"/>
        </w:rPr>
        <w:t xml:space="preserve">: </w:t>
      </w:r>
      <w:r w:rsidR="002139B5">
        <w:rPr>
          <w:rFonts w:eastAsia="Times New Roman" w:cs="Times New Roman"/>
          <w:szCs w:val="24"/>
        </w:rPr>
        <w:t>OGS TV, INC.</w:t>
      </w:r>
    </w:p>
    <w:p w14:paraId="2D032B35" w14:textId="77777777" w:rsidR="009C6555" w:rsidRPr="00BF7FF4" w:rsidRDefault="009C6555">
      <w:pPr>
        <w:spacing w:line="240" w:lineRule="auto"/>
        <w:rPr>
          <w:rFonts w:eastAsia="Times New Roman" w:cs="Times New Roman"/>
          <w:szCs w:val="24"/>
        </w:rPr>
      </w:pPr>
    </w:p>
    <w:sectPr w:rsidR="009C6555" w:rsidRPr="00BF7FF4" w:rsidSect="00D15AEC">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D22B0D" w14:textId="77777777" w:rsidR="007D694E" w:rsidRDefault="007D694E" w:rsidP="00CA294F">
      <w:pPr>
        <w:spacing w:line="240" w:lineRule="auto"/>
      </w:pPr>
      <w:r>
        <w:separator/>
      </w:r>
    </w:p>
  </w:endnote>
  <w:endnote w:type="continuationSeparator" w:id="0">
    <w:p w14:paraId="37FB029A" w14:textId="77777777" w:rsidR="007D694E" w:rsidRDefault="007D694E" w:rsidP="00CA29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2417280"/>
      <w:docPartObj>
        <w:docPartGallery w:val="Page Numbers (Bottom of Page)"/>
        <w:docPartUnique/>
      </w:docPartObj>
    </w:sdtPr>
    <w:sdtEndPr>
      <w:rPr>
        <w:noProof/>
      </w:rPr>
    </w:sdtEndPr>
    <w:sdtContent>
      <w:p w14:paraId="0C9616FC" w14:textId="77777777" w:rsidR="001A5DAF" w:rsidRDefault="001A5DAF">
        <w:pPr>
          <w:pStyle w:val="Footer"/>
          <w:jc w:val="center"/>
        </w:pPr>
        <w:r>
          <w:fldChar w:fldCharType="begin"/>
        </w:r>
        <w:r>
          <w:instrText xml:space="preserve"> PAGE   \* MERGEFORMAT </w:instrText>
        </w:r>
        <w:r>
          <w:fldChar w:fldCharType="separate"/>
        </w:r>
        <w:r w:rsidR="00F0131F">
          <w:rPr>
            <w:noProof/>
          </w:rPr>
          <w:t>16</w:t>
        </w:r>
        <w:r>
          <w:rPr>
            <w:noProof/>
          </w:rPr>
          <w:fldChar w:fldCharType="end"/>
        </w:r>
      </w:p>
    </w:sdtContent>
  </w:sdt>
  <w:p w14:paraId="74FC67C2" w14:textId="77777777" w:rsidR="001A5DAF" w:rsidRDefault="001A5DA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9D6D50" w14:textId="77777777" w:rsidR="007D694E" w:rsidRDefault="007D694E" w:rsidP="00CA294F">
      <w:pPr>
        <w:spacing w:line="240" w:lineRule="auto"/>
      </w:pPr>
      <w:r>
        <w:separator/>
      </w:r>
    </w:p>
  </w:footnote>
  <w:footnote w:type="continuationSeparator" w:id="0">
    <w:p w14:paraId="437C5B17" w14:textId="77777777" w:rsidR="007D694E" w:rsidRDefault="007D694E" w:rsidP="00CA294F">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B438D"/>
    <w:multiLevelType w:val="hybridMultilevel"/>
    <w:tmpl w:val="9FE24F58"/>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5B7FC0"/>
    <w:multiLevelType w:val="hybridMultilevel"/>
    <w:tmpl w:val="C6C63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A6618F"/>
    <w:multiLevelType w:val="hybridMultilevel"/>
    <w:tmpl w:val="9FE24F58"/>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A433D2"/>
    <w:multiLevelType w:val="hybridMultilevel"/>
    <w:tmpl w:val="ADDA2236"/>
    <w:lvl w:ilvl="0" w:tplc="AEDA85FC">
      <w:start w:val="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7D8F17D5"/>
    <w:multiLevelType w:val="hybridMultilevel"/>
    <w:tmpl w:val="B39C0EB6"/>
    <w:lvl w:ilvl="0" w:tplc="20327CE4">
      <w:start w:val="2"/>
      <w:numFmt w:val="bullet"/>
      <w:lvlText w:val=""/>
      <w:lvlJc w:val="left"/>
      <w:pPr>
        <w:ind w:left="1080" w:hanging="360"/>
      </w:pPr>
      <w:rPr>
        <w:rFonts w:ascii="Wingdings" w:eastAsia="Times New Roman" w:hAnsi="Wingdings"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7F720A43"/>
    <w:multiLevelType w:val="hybridMultilevel"/>
    <w:tmpl w:val="D6C84F8C"/>
    <w:lvl w:ilvl="0" w:tplc="ED0A3B5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7A3"/>
    <w:rsid w:val="00017582"/>
    <w:rsid w:val="0002361B"/>
    <w:rsid w:val="000541D2"/>
    <w:rsid w:val="00074FBA"/>
    <w:rsid w:val="00075C3F"/>
    <w:rsid w:val="000823F1"/>
    <w:rsid w:val="000C1D11"/>
    <w:rsid w:val="000D0B8C"/>
    <w:rsid w:val="000D1D2C"/>
    <w:rsid w:val="000D3750"/>
    <w:rsid w:val="000D5D02"/>
    <w:rsid w:val="000E12B4"/>
    <w:rsid w:val="000E40A8"/>
    <w:rsid w:val="00100DD3"/>
    <w:rsid w:val="001272CE"/>
    <w:rsid w:val="00137BA7"/>
    <w:rsid w:val="001522AB"/>
    <w:rsid w:val="00162F74"/>
    <w:rsid w:val="001642EB"/>
    <w:rsid w:val="001765B1"/>
    <w:rsid w:val="00187058"/>
    <w:rsid w:val="00192998"/>
    <w:rsid w:val="00194DE8"/>
    <w:rsid w:val="001A3773"/>
    <w:rsid w:val="001A42AD"/>
    <w:rsid w:val="001A5DAF"/>
    <w:rsid w:val="001B72C2"/>
    <w:rsid w:val="001C1B2C"/>
    <w:rsid w:val="001C5B28"/>
    <w:rsid w:val="001D07A8"/>
    <w:rsid w:val="00206399"/>
    <w:rsid w:val="00206A8D"/>
    <w:rsid w:val="002139B5"/>
    <w:rsid w:val="002149EA"/>
    <w:rsid w:val="00254AE4"/>
    <w:rsid w:val="00255359"/>
    <w:rsid w:val="00264C4D"/>
    <w:rsid w:val="002A2FC6"/>
    <w:rsid w:val="002C2992"/>
    <w:rsid w:val="002E6533"/>
    <w:rsid w:val="003121A3"/>
    <w:rsid w:val="00326989"/>
    <w:rsid w:val="00330F89"/>
    <w:rsid w:val="00333ED6"/>
    <w:rsid w:val="00386477"/>
    <w:rsid w:val="003B5344"/>
    <w:rsid w:val="003C46D6"/>
    <w:rsid w:val="003D2CC2"/>
    <w:rsid w:val="003F3F49"/>
    <w:rsid w:val="00401363"/>
    <w:rsid w:val="0040143A"/>
    <w:rsid w:val="004065A3"/>
    <w:rsid w:val="00430830"/>
    <w:rsid w:val="0043632E"/>
    <w:rsid w:val="00437096"/>
    <w:rsid w:val="004434E4"/>
    <w:rsid w:val="004435DF"/>
    <w:rsid w:val="004452C4"/>
    <w:rsid w:val="00456ED7"/>
    <w:rsid w:val="00461C9B"/>
    <w:rsid w:val="0046475B"/>
    <w:rsid w:val="004655A5"/>
    <w:rsid w:val="004725F4"/>
    <w:rsid w:val="004770F8"/>
    <w:rsid w:val="004806AD"/>
    <w:rsid w:val="00483BFE"/>
    <w:rsid w:val="004B4311"/>
    <w:rsid w:val="004C2EBD"/>
    <w:rsid w:val="00510E51"/>
    <w:rsid w:val="005445D0"/>
    <w:rsid w:val="00545BCD"/>
    <w:rsid w:val="00581754"/>
    <w:rsid w:val="0059142B"/>
    <w:rsid w:val="005A3470"/>
    <w:rsid w:val="005A40E7"/>
    <w:rsid w:val="005B037D"/>
    <w:rsid w:val="005B3257"/>
    <w:rsid w:val="005C3123"/>
    <w:rsid w:val="005C3B28"/>
    <w:rsid w:val="005D66FF"/>
    <w:rsid w:val="005F4873"/>
    <w:rsid w:val="005F70A9"/>
    <w:rsid w:val="00606DFF"/>
    <w:rsid w:val="00610437"/>
    <w:rsid w:val="00632549"/>
    <w:rsid w:val="00643044"/>
    <w:rsid w:val="0066307D"/>
    <w:rsid w:val="0068019A"/>
    <w:rsid w:val="006A03D5"/>
    <w:rsid w:val="006A71BF"/>
    <w:rsid w:val="006B1F78"/>
    <w:rsid w:val="006B5FDD"/>
    <w:rsid w:val="006D2971"/>
    <w:rsid w:val="006D6478"/>
    <w:rsid w:val="006E4C22"/>
    <w:rsid w:val="007109B2"/>
    <w:rsid w:val="00734C99"/>
    <w:rsid w:val="0075745B"/>
    <w:rsid w:val="0075779C"/>
    <w:rsid w:val="00764270"/>
    <w:rsid w:val="007C22E4"/>
    <w:rsid w:val="007D694E"/>
    <w:rsid w:val="007F1219"/>
    <w:rsid w:val="0082068F"/>
    <w:rsid w:val="00825415"/>
    <w:rsid w:val="00833E96"/>
    <w:rsid w:val="0083600B"/>
    <w:rsid w:val="00877F80"/>
    <w:rsid w:val="00881B4A"/>
    <w:rsid w:val="008870F6"/>
    <w:rsid w:val="008932DC"/>
    <w:rsid w:val="008A61C0"/>
    <w:rsid w:val="008A75AD"/>
    <w:rsid w:val="008B5627"/>
    <w:rsid w:val="008C5FC7"/>
    <w:rsid w:val="008D12DD"/>
    <w:rsid w:val="008D18DE"/>
    <w:rsid w:val="00904EAD"/>
    <w:rsid w:val="009075D6"/>
    <w:rsid w:val="00913F56"/>
    <w:rsid w:val="00914ABD"/>
    <w:rsid w:val="00914DBC"/>
    <w:rsid w:val="00943077"/>
    <w:rsid w:val="00944BDB"/>
    <w:rsid w:val="0096119C"/>
    <w:rsid w:val="00967D59"/>
    <w:rsid w:val="00996610"/>
    <w:rsid w:val="009B19C3"/>
    <w:rsid w:val="009C6555"/>
    <w:rsid w:val="009C6E94"/>
    <w:rsid w:val="009E6A42"/>
    <w:rsid w:val="009F0751"/>
    <w:rsid w:val="009F4452"/>
    <w:rsid w:val="009F58CB"/>
    <w:rsid w:val="00A17DCF"/>
    <w:rsid w:val="00A221E4"/>
    <w:rsid w:val="00A2344A"/>
    <w:rsid w:val="00A35FBC"/>
    <w:rsid w:val="00A4027A"/>
    <w:rsid w:val="00A63BA4"/>
    <w:rsid w:val="00A711F3"/>
    <w:rsid w:val="00A71236"/>
    <w:rsid w:val="00A7602C"/>
    <w:rsid w:val="00A86611"/>
    <w:rsid w:val="00A95907"/>
    <w:rsid w:val="00A97B80"/>
    <w:rsid w:val="00AA00E8"/>
    <w:rsid w:val="00AA3AD4"/>
    <w:rsid w:val="00AA6DE9"/>
    <w:rsid w:val="00AD685C"/>
    <w:rsid w:val="00AF2A34"/>
    <w:rsid w:val="00B04ADE"/>
    <w:rsid w:val="00B061A1"/>
    <w:rsid w:val="00B31478"/>
    <w:rsid w:val="00B450E2"/>
    <w:rsid w:val="00B50CAB"/>
    <w:rsid w:val="00B543EA"/>
    <w:rsid w:val="00B70912"/>
    <w:rsid w:val="00B810B1"/>
    <w:rsid w:val="00B83E0F"/>
    <w:rsid w:val="00B87915"/>
    <w:rsid w:val="00BA214C"/>
    <w:rsid w:val="00BC35EE"/>
    <w:rsid w:val="00BC77A3"/>
    <w:rsid w:val="00BD50D7"/>
    <w:rsid w:val="00BE02B0"/>
    <w:rsid w:val="00BF3C7D"/>
    <w:rsid w:val="00BF7FF4"/>
    <w:rsid w:val="00C07289"/>
    <w:rsid w:val="00C23B34"/>
    <w:rsid w:val="00C30253"/>
    <w:rsid w:val="00C35482"/>
    <w:rsid w:val="00C60727"/>
    <w:rsid w:val="00C67D1B"/>
    <w:rsid w:val="00C701A0"/>
    <w:rsid w:val="00C747A3"/>
    <w:rsid w:val="00C83E32"/>
    <w:rsid w:val="00CA294F"/>
    <w:rsid w:val="00CB3219"/>
    <w:rsid w:val="00CD405E"/>
    <w:rsid w:val="00D15AEC"/>
    <w:rsid w:val="00D20F9E"/>
    <w:rsid w:val="00D30787"/>
    <w:rsid w:val="00D54D0C"/>
    <w:rsid w:val="00D747FB"/>
    <w:rsid w:val="00D773B6"/>
    <w:rsid w:val="00D92F99"/>
    <w:rsid w:val="00DC7D60"/>
    <w:rsid w:val="00DE18A9"/>
    <w:rsid w:val="00DF501C"/>
    <w:rsid w:val="00DF62C5"/>
    <w:rsid w:val="00E04779"/>
    <w:rsid w:val="00E105B6"/>
    <w:rsid w:val="00E33E2F"/>
    <w:rsid w:val="00E4130D"/>
    <w:rsid w:val="00E446DD"/>
    <w:rsid w:val="00E4683E"/>
    <w:rsid w:val="00E46B00"/>
    <w:rsid w:val="00E55B6D"/>
    <w:rsid w:val="00E739FE"/>
    <w:rsid w:val="00E972A9"/>
    <w:rsid w:val="00EF6029"/>
    <w:rsid w:val="00EF7FF7"/>
    <w:rsid w:val="00F0131F"/>
    <w:rsid w:val="00F102E8"/>
    <w:rsid w:val="00F32A12"/>
    <w:rsid w:val="00F3770E"/>
    <w:rsid w:val="00F4196D"/>
    <w:rsid w:val="00F44E61"/>
    <w:rsid w:val="00F45D1B"/>
    <w:rsid w:val="00F45DB3"/>
    <w:rsid w:val="00F47F2C"/>
    <w:rsid w:val="00F5434E"/>
    <w:rsid w:val="00F96392"/>
    <w:rsid w:val="00FE6084"/>
    <w:rsid w:val="00FF0D54"/>
    <w:rsid w:val="00FF36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256C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7A3"/>
    <w:pPr>
      <w:spacing w:after="0" w:line="480" w:lineRule="auto"/>
    </w:pPr>
    <w:rPr>
      <w:rFonts w:ascii="Times New Roman" w:hAnsi="Times New Roman"/>
      <w:sz w:val="24"/>
    </w:rPr>
  </w:style>
  <w:style w:type="paragraph" w:styleId="Heading2">
    <w:name w:val="heading 2"/>
    <w:basedOn w:val="Normal"/>
    <w:link w:val="Heading2Char"/>
    <w:uiPriority w:val="9"/>
    <w:qFormat/>
    <w:rsid w:val="00877F80"/>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47A3"/>
    <w:pPr>
      <w:ind w:left="720"/>
      <w:contextualSpacing/>
    </w:pPr>
  </w:style>
  <w:style w:type="paragraph" w:styleId="NoSpacing">
    <w:name w:val="No Spacing"/>
    <w:uiPriority w:val="1"/>
    <w:qFormat/>
    <w:rsid w:val="00C747A3"/>
    <w:pPr>
      <w:spacing w:after="0" w:line="240" w:lineRule="auto"/>
    </w:pPr>
    <w:rPr>
      <w:rFonts w:ascii="Times New Roman" w:hAnsi="Times New Roman"/>
      <w:sz w:val="24"/>
    </w:rPr>
  </w:style>
  <w:style w:type="table" w:customStyle="1" w:styleId="TableGrid1">
    <w:name w:val="Table Grid1"/>
    <w:basedOn w:val="TableNormal"/>
    <w:next w:val="TableGrid"/>
    <w:uiPriority w:val="59"/>
    <w:rsid w:val="00C747A3"/>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C747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7D6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7D60"/>
    <w:rPr>
      <w:rFonts w:ascii="Tahoma" w:hAnsi="Tahoma" w:cs="Tahoma"/>
      <w:sz w:val="16"/>
      <w:szCs w:val="16"/>
    </w:rPr>
  </w:style>
  <w:style w:type="character" w:styleId="Strong">
    <w:name w:val="Strong"/>
    <w:basedOn w:val="DefaultParagraphFont"/>
    <w:uiPriority w:val="22"/>
    <w:qFormat/>
    <w:rsid w:val="008B5627"/>
    <w:rPr>
      <w:b/>
      <w:bCs/>
    </w:rPr>
  </w:style>
  <w:style w:type="character" w:customStyle="1" w:styleId="cosmallcaps">
    <w:name w:val="co_smallcaps"/>
    <w:basedOn w:val="DefaultParagraphFont"/>
    <w:rsid w:val="00F3770E"/>
  </w:style>
  <w:style w:type="character" w:styleId="Emphasis">
    <w:name w:val="Emphasis"/>
    <w:basedOn w:val="DefaultParagraphFont"/>
    <w:uiPriority w:val="20"/>
    <w:qFormat/>
    <w:rsid w:val="001B72C2"/>
    <w:rPr>
      <w:i/>
      <w:iCs/>
    </w:rPr>
  </w:style>
  <w:style w:type="character" w:styleId="CommentReference">
    <w:name w:val="annotation reference"/>
    <w:basedOn w:val="DefaultParagraphFont"/>
    <w:uiPriority w:val="99"/>
    <w:semiHidden/>
    <w:unhideWhenUsed/>
    <w:rsid w:val="00A2344A"/>
    <w:rPr>
      <w:sz w:val="16"/>
      <w:szCs w:val="16"/>
    </w:rPr>
  </w:style>
  <w:style w:type="paragraph" w:styleId="CommentText">
    <w:name w:val="annotation text"/>
    <w:basedOn w:val="Normal"/>
    <w:link w:val="CommentTextChar"/>
    <w:uiPriority w:val="99"/>
    <w:semiHidden/>
    <w:unhideWhenUsed/>
    <w:rsid w:val="00A2344A"/>
    <w:pPr>
      <w:spacing w:line="240" w:lineRule="auto"/>
    </w:pPr>
    <w:rPr>
      <w:sz w:val="20"/>
      <w:szCs w:val="20"/>
    </w:rPr>
  </w:style>
  <w:style w:type="character" w:customStyle="1" w:styleId="CommentTextChar">
    <w:name w:val="Comment Text Char"/>
    <w:basedOn w:val="DefaultParagraphFont"/>
    <w:link w:val="CommentText"/>
    <w:uiPriority w:val="99"/>
    <w:semiHidden/>
    <w:rsid w:val="00A2344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344A"/>
    <w:rPr>
      <w:b/>
      <w:bCs/>
    </w:rPr>
  </w:style>
  <w:style w:type="character" w:customStyle="1" w:styleId="CommentSubjectChar">
    <w:name w:val="Comment Subject Char"/>
    <w:basedOn w:val="CommentTextChar"/>
    <w:link w:val="CommentSubject"/>
    <w:uiPriority w:val="99"/>
    <w:semiHidden/>
    <w:rsid w:val="00A2344A"/>
    <w:rPr>
      <w:rFonts w:ascii="Times New Roman" w:hAnsi="Times New Roman"/>
      <w:b/>
      <w:bCs/>
      <w:sz w:val="20"/>
      <w:szCs w:val="20"/>
    </w:rPr>
  </w:style>
  <w:style w:type="character" w:customStyle="1" w:styleId="Heading2Char">
    <w:name w:val="Heading 2 Char"/>
    <w:basedOn w:val="DefaultParagraphFont"/>
    <w:link w:val="Heading2"/>
    <w:uiPriority w:val="9"/>
    <w:rsid w:val="00877F80"/>
    <w:rPr>
      <w:rFonts w:ascii="Times New Roman" w:eastAsia="Times New Roman" w:hAnsi="Times New Roman" w:cs="Times New Roman"/>
      <w:b/>
      <w:bCs/>
      <w:sz w:val="36"/>
      <w:szCs w:val="36"/>
    </w:rPr>
  </w:style>
  <w:style w:type="paragraph" w:customStyle="1" w:styleId="Normal1">
    <w:name w:val="Normal1"/>
    <w:basedOn w:val="Normal"/>
    <w:rsid w:val="00877F80"/>
    <w:pPr>
      <w:spacing w:before="100" w:beforeAutospacing="1" w:after="100" w:afterAutospacing="1" w:line="240" w:lineRule="auto"/>
    </w:pPr>
    <w:rPr>
      <w:rFonts w:eastAsia="Times New Roman" w:cs="Times New Roman"/>
      <w:szCs w:val="24"/>
    </w:rPr>
  </w:style>
  <w:style w:type="character" w:customStyle="1" w:styleId="heading00202char">
    <w:name w:val="heading_00202__char"/>
    <w:basedOn w:val="DefaultParagraphFont"/>
    <w:rsid w:val="00877F80"/>
  </w:style>
  <w:style w:type="paragraph" w:customStyle="1" w:styleId="body0020text">
    <w:name w:val="body_0020text"/>
    <w:basedOn w:val="Normal"/>
    <w:rsid w:val="00877F80"/>
    <w:pPr>
      <w:spacing w:before="100" w:beforeAutospacing="1" w:after="100" w:afterAutospacing="1" w:line="240" w:lineRule="auto"/>
    </w:pPr>
    <w:rPr>
      <w:rFonts w:eastAsia="Times New Roman" w:cs="Times New Roman"/>
      <w:szCs w:val="24"/>
    </w:rPr>
  </w:style>
  <w:style w:type="character" w:customStyle="1" w:styleId="body0020textchar">
    <w:name w:val="body_0020text__char"/>
    <w:basedOn w:val="DefaultParagraphFont"/>
    <w:rsid w:val="00877F80"/>
  </w:style>
  <w:style w:type="character" w:customStyle="1" w:styleId="normalchar">
    <w:name w:val="normal__char"/>
    <w:basedOn w:val="DefaultParagraphFont"/>
    <w:rsid w:val="00877F80"/>
  </w:style>
  <w:style w:type="character" w:customStyle="1" w:styleId="costarpage">
    <w:name w:val="co_starpage"/>
    <w:basedOn w:val="DefaultParagraphFont"/>
    <w:rsid w:val="002139B5"/>
  </w:style>
  <w:style w:type="paragraph" w:styleId="Header">
    <w:name w:val="header"/>
    <w:basedOn w:val="Normal"/>
    <w:link w:val="HeaderChar"/>
    <w:uiPriority w:val="99"/>
    <w:unhideWhenUsed/>
    <w:rsid w:val="00CA294F"/>
    <w:pPr>
      <w:tabs>
        <w:tab w:val="center" w:pos="4680"/>
        <w:tab w:val="right" w:pos="9360"/>
      </w:tabs>
      <w:spacing w:line="240" w:lineRule="auto"/>
    </w:pPr>
  </w:style>
  <w:style w:type="character" w:customStyle="1" w:styleId="HeaderChar">
    <w:name w:val="Header Char"/>
    <w:basedOn w:val="DefaultParagraphFont"/>
    <w:link w:val="Header"/>
    <w:uiPriority w:val="99"/>
    <w:rsid w:val="00CA294F"/>
    <w:rPr>
      <w:rFonts w:ascii="Times New Roman" w:hAnsi="Times New Roman"/>
      <w:sz w:val="24"/>
    </w:rPr>
  </w:style>
  <w:style w:type="paragraph" w:styleId="Footer">
    <w:name w:val="footer"/>
    <w:basedOn w:val="Normal"/>
    <w:link w:val="FooterChar"/>
    <w:uiPriority w:val="99"/>
    <w:unhideWhenUsed/>
    <w:rsid w:val="00CA294F"/>
    <w:pPr>
      <w:tabs>
        <w:tab w:val="center" w:pos="4680"/>
        <w:tab w:val="right" w:pos="9360"/>
      </w:tabs>
      <w:spacing w:line="240" w:lineRule="auto"/>
    </w:pPr>
  </w:style>
  <w:style w:type="character" w:customStyle="1" w:styleId="FooterChar">
    <w:name w:val="Footer Char"/>
    <w:basedOn w:val="DefaultParagraphFont"/>
    <w:link w:val="Footer"/>
    <w:uiPriority w:val="99"/>
    <w:rsid w:val="00CA294F"/>
    <w:rPr>
      <w:rFonts w:ascii="Times New Roman" w:hAnsi="Times New Roman"/>
      <w:sz w:val="24"/>
    </w:rPr>
  </w:style>
  <w:style w:type="character" w:customStyle="1" w:styleId="ssens">
    <w:name w:val="ssens"/>
    <w:basedOn w:val="DefaultParagraphFont"/>
    <w:rsid w:val="00B50CAB"/>
  </w:style>
  <w:style w:type="character" w:styleId="Hyperlink">
    <w:name w:val="Hyperlink"/>
    <w:basedOn w:val="DefaultParagraphFont"/>
    <w:uiPriority w:val="99"/>
    <w:semiHidden/>
    <w:unhideWhenUsed/>
    <w:rsid w:val="0083600B"/>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7A3"/>
    <w:pPr>
      <w:spacing w:after="0" w:line="480" w:lineRule="auto"/>
    </w:pPr>
    <w:rPr>
      <w:rFonts w:ascii="Times New Roman" w:hAnsi="Times New Roman"/>
      <w:sz w:val="24"/>
    </w:rPr>
  </w:style>
  <w:style w:type="paragraph" w:styleId="Heading2">
    <w:name w:val="heading 2"/>
    <w:basedOn w:val="Normal"/>
    <w:link w:val="Heading2Char"/>
    <w:uiPriority w:val="9"/>
    <w:qFormat/>
    <w:rsid w:val="00877F80"/>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47A3"/>
    <w:pPr>
      <w:ind w:left="720"/>
      <w:contextualSpacing/>
    </w:pPr>
  </w:style>
  <w:style w:type="paragraph" w:styleId="NoSpacing">
    <w:name w:val="No Spacing"/>
    <w:uiPriority w:val="1"/>
    <w:qFormat/>
    <w:rsid w:val="00C747A3"/>
    <w:pPr>
      <w:spacing w:after="0" w:line="240" w:lineRule="auto"/>
    </w:pPr>
    <w:rPr>
      <w:rFonts w:ascii="Times New Roman" w:hAnsi="Times New Roman"/>
      <w:sz w:val="24"/>
    </w:rPr>
  </w:style>
  <w:style w:type="table" w:customStyle="1" w:styleId="TableGrid1">
    <w:name w:val="Table Grid1"/>
    <w:basedOn w:val="TableNormal"/>
    <w:next w:val="TableGrid"/>
    <w:uiPriority w:val="59"/>
    <w:rsid w:val="00C747A3"/>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C747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7D6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7D60"/>
    <w:rPr>
      <w:rFonts w:ascii="Tahoma" w:hAnsi="Tahoma" w:cs="Tahoma"/>
      <w:sz w:val="16"/>
      <w:szCs w:val="16"/>
    </w:rPr>
  </w:style>
  <w:style w:type="character" w:styleId="Strong">
    <w:name w:val="Strong"/>
    <w:basedOn w:val="DefaultParagraphFont"/>
    <w:uiPriority w:val="22"/>
    <w:qFormat/>
    <w:rsid w:val="008B5627"/>
    <w:rPr>
      <w:b/>
      <w:bCs/>
    </w:rPr>
  </w:style>
  <w:style w:type="character" w:customStyle="1" w:styleId="cosmallcaps">
    <w:name w:val="co_smallcaps"/>
    <w:basedOn w:val="DefaultParagraphFont"/>
    <w:rsid w:val="00F3770E"/>
  </w:style>
  <w:style w:type="character" w:styleId="Emphasis">
    <w:name w:val="Emphasis"/>
    <w:basedOn w:val="DefaultParagraphFont"/>
    <w:uiPriority w:val="20"/>
    <w:qFormat/>
    <w:rsid w:val="001B72C2"/>
    <w:rPr>
      <w:i/>
      <w:iCs/>
    </w:rPr>
  </w:style>
  <w:style w:type="character" w:styleId="CommentReference">
    <w:name w:val="annotation reference"/>
    <w:basedOn w:val="DefaultParagraphFont"/>
    <w:uiPriority w:val="99"/>
    <w:semiHidden/>
    <w:unhideWhenUsed/>
    <w:rsid w:val="00A2344A"/>
    <w:rPr>
      <w:sz w:val="16"/>
      <w:szCs w:val="16"/>
    </w:rPr>
  </w:style>
  <w:style w:type="paragraph" w:styleId="CommentText">
    <w:name w:val="annotation text"/>
    <w:basedOn w:val="Normal"/>
    <w:link w:val="CommentTextChar"/>
    <w:uiPriority w:val="99"/>
    <w:semiHidden/>
    <w:unhideWhenUsed/>
    <w:rsid w:val="00A2344A"/>
    <w:pPr>
      <w:spacing w:line="240" w:lineRule="auto"/>
    </w:pPr>
    <w:rPr>
      <w:sz w:val="20"/>
      <w:szCs w:val="20"/>
    </w:rPr>
  </w:style>
  <w:style w:type="character" w:customStyle="1" w:styleId="CommentTextChar">
    <w:name w:val="Comment Text Char"/>
    <w:basedOn w:val="DefaultParagraphFont"/>
    <w:link w:val="CommentText"/>
    <w:uiPriority w:val="99"/>
    <w:semiHidden/>
    <w:rsid w:val="00A2344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344A"/>
    <w:rPr>
      <w:b/>
      <w:bCs/>
    </w:rPr>
  </w:style>
  <w:style w:type="character" w:customStyle="1" w:styleId="CommentSubjectChar">
    <w:name w:val="Comment Subject Char"/>
    <w:basedOn w:val="CommentTextChar"/>
    <w:link w:val="CommentSubject"/>
    <w:uiPriority w:val="99"/>
    <w:semiHidden/>
    <w:rsid w:val="00A2344A"/>
    <w:rPr>
      <w:rFonts w:ascii="Times New Roman" w:hAnsi="Times New Roman"/>
      <w:b/>
      <w:bCs/>
      <w:sz w:val="20"/>
      <w:szCs w:val="20"/>
    </w:rPr>
  </w:style>
  <w:style w:type="character" w:customStyle="1" w:styleId="Heading2Char">
    <w:name w:val="Heading 2 Char"/>
    <w:basedOn w:val="DefaultParagraphFont"/>
    <w:link w:val="Heading2"/>
    <w:uiPriority w:val="9"/>
    <w:rsid w:val="00877F80"/>
    <w:rPr>
      <w:rFonts w:ascii="Times New Roman" w:eastAsia="Times New Roman" w:hAnsi="Times New Roman" w:cs="Times New Roman"/>
      <w:b/>
      <w:bCs/>
      <w:sz w:val="36"/>
      <w:szCs w:val="36"/>
    </w:rPr>
  </w:style>
  <w:style w:type="paragraph" w:customStyle="1" w:styleId="Normal1">
    <w:name w:val="Normal1"/>
    <w:basedOn w:val="Normal"/>
    <w:rsid w:val="00877F80"/>
    <w:pPr>
      <w:spacing w:before="100" w:beforeAutospacing="1" w:after="100" w:afterAutospacing="1" w:line="240" w:lineRule="auto"/>
    </w:pPr>
    <w:rPr>
      <w:rFonts w:eastAsia="Times New Roman" w:cs="Times New Roman"/>
      <w:szCs w:val="24"/>
    </w:rPr>
  </w:style>
  <w:style w:type="character" w:customStyle="1" w:styleId="heading00202char">
    <w:name w:val="heading_00202__char"/>
    <w:basedOn w:val="DefaultParagraphFont"/>
    <w:rsid w:val="00877F80"/>
  </w:style>
  <w:style w:type="paragraph" w:customStyle="1" w:styleId="body0020text">
    <w:name w:val="body_0020text"/>
    <w:basedOn w:val="Normal"/>
    <w:rsid w:val="00877F80"/>
    <w:pPr>
      <w:spacing w:before="100" w:beforeAutospacing="1" w:after="100" w:afterAutospacing="1" w:line="240" w:lineRule="auto"/>
    </w:pPr>
    <w:rPr>
      <w:rFonts w:eastAsia="Times New Roman" w:cs="Times New Roman"/>
      <w:szCs w:val="24"/>
    </w:rPr>
  </w:style>
  <w:style w:type="character" w:customStyle="1" w:styleId="body0020textchar">
    <w:name w:val="body_0020text__char"/>
    <w:basedOn w:val="DefaultParagraphFont"/>
    <w:rsid w:val="00877F80"/>
  </w:style>
  <w:style w:type="character" w:customStyle="1" w:styleId="normalchar">
    <w:name w:val="normal__char"/>
    <w:basedOn w:val="DefaultParagraphFont"/>
    <w:rsid w:val="00877F80"/>
  </w:style>
  <w:style w:type="character" w:customStyle="1" w:styleId="costarpage">
    <w:name w:val="co_starpage"/>
    <w:basedOn w:val="DefaultParagraphFont"/>
    <w:rsid w:val="002139B5"/>
  </w:style>
  <w:style w:type="paragraph" w:styleId="Header">
    <w:name w:val="header"/>
    <w:basedOn w:val="Normal"/>
    <w:link w:val="HeaderChar"/>
    <w:uiPriority w:val="99"/>
    <w:unhideWhenUsed/>
    <w:rsid w:val="00CA294F"/>
    <w:pPr>
      <w:tabs>
        <w:tab w:val="center" w:pos="4680"/>
        <w:tab w:val="right" w:pos="9360"/>
      </w:tabs>
      <w:spacing w:line="240" w:lineRule="auto"/>
    </w:pPr>
  </w:style>
  <w:style w:type="character" w:customStyle="1" w:styleId="HeaderChar">
    <w:name w:val="Header Char"/>
    <w:basedOn w:val="DefaultParagraphFont"/>
    <w:link w:val="Header"/>
    <w:uiPriority w:val="99"/>
    <w:rsid w:val="00CA294F"/>
    <w:rPr>
      <w:rFonts w:ascii="Times New Roman" w:hAnsi="Times New Roman"/>
      <w:sz w:val="24"/>
    </w:rPr>
  </w:style>
  <w:style w:type="paragraph" w:styleId="Footer">
    <w:name w:val="footer"/>
    <w:basedOn w:val="Normal"/>
    <w:link w:val="FooterChar"/>
    <w:uiPriority w:val="99"/>
    <w:unhideWhenUsed/>
    <w:rsid w:val="00CA294F"/>
    <w:pPr>
      <w:tabs>
        <w:tab w:val="center" w:pos="4680"/>
        <w:tab w:val="right" w:pos="9360"/>
      </w:tabs>
      <w:spacing w:line="240" w:lineRule="auto"/>
    </w:pPr>
  </w:style>
  <w:style w:type="character" w:customStyle="1" w:styleId="FooterChar">
    <w:name w:val="Footer Char"/>
    <w:basedOn w:val="DefaultParagraphFont"/>
    <w:link w:val="Footer"/>
    <w:uiPriority w:val="99"/>
    <w:rsid w:val="00CA294F"/>
    <w:rPr>
      <w:rFonts w:ascii="Times New Roman" w:hAnsi="Times New Roman"/>
      <w:sz w:val="24"/>
    </w:rPr>
  </w:style>
  <w:style w:type="character" w:customStyle="1" w:styleId="ssens">
    <w:name w:val="ssens"/>
    <w:basedOn w:val="DefaultParagraphFont"/>
    <w:rsid w:val="00B50CAB"/>
  </w:style>
  <w:style w:type="character" w:styleId="Hyperlink">
    <w:name w:val="Hyperlink"/>
    <w:basedOn w:val="DefaultParagraphFont"/>
    <w:uiPriority w:val="99"/>
    <w:semiHidden/>
    <w:unhideWhenUsed/>
    <w:rsid w:val="0083600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3479">
      <w:bodyDiv w:val="1"/>
      <w:marLeft w:val="0"/>
      <w:marRight w:val="0"/>
      <w:marTop w:val="0"/>
      <w:marBottom w:val="0"/>
      <w:divBdr>
        <w:top w:val="none" w:sz="0" w:space="0" w:color="auto"/>
        <w:left w:val="none" w:sz="0" w:space="0" w:color="auto"/>
        <w:bottom w:val="none" w:sz="0" w:space="0" w:color="auto"/>
        <w:right w:val="none" w:sz="0" w:space="0" w:color="auto"/>
      </w:divBdr>
      <w:divsChild>
        <w:div w:id="925269054">
          <w:marLeft w:val="0"/>
          <w:marRight w:val="0"/>
          <w:marTop w:val="0"/>
          <w:marBottom w:val="0"/>
          <w:divBdr>
            <w:top w:val="none" w:sz="0" w:space="0" w:color="auto"/>
            <w:left w:val="none" w:sz="0" w:space="0" w:color="auto"/>
            <w:bottom w:val="none" w:sz="0" w:space="0" w:color="auto"/>
            <w:right w:val="none" w:sz="0" w:space="0" w:color="auto"/>
          </w:divBdr>
          <w:divsChild>
            <w:div w:id="690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39394">
      <w:bodyDiv w:val="1"/>
      <w:marLeft w:val="0"/>
      <w:marRight w:val="0"/>
      <w:marTop w:val="0"/>
      <w:marBottom w:val="0"/>
      <w:divBdr>
        <w:top w:val="none" w:sz="0" w:space="0" w:color="auto"/>
        <w:left w:val="none" w:sz="0" w:space="0" w:color="auto"/>
        <w:bottom w:val="none" w:sz="0" w:space="0" w:color="auto"/>
        <w:right w:val="none" w:sz="0" w:space="0" w:color="auto"/>
      </w:divBdr>
      <w:divsChild>
        <w:div w:id="1205798629">
          <w:marLeft w:val="0"/>
          <w:marRight w:val="0"/>
          <w:marTop w:val="0"/>
          <w:marBottom w:val="0"/>
          <w:divBdr>
            <w:top w:val="none" w:sz="0" w:space="0" w:color="auto"/>
            <w:left w:val="none" w:sz="0" w:space="0" w:color="auto"/>
            <w:bottom w:val="none" w:sz="0" w:space="0" w:color="auto"/>
            <w:right w:val="none" w:sz="0" w:space="0" w:color="auto"/>
          </w:divBdr>
          <w:divsChild>
            <w:div w:id="162634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47473">
      <w:bodyDiv w:val="1"/>
      <w:marLeft w:val="0"/>
      <w:marRight w:val="0"/>
      <w:marTop w:val="0"/>
      <w:marBottom w:val="0"/>
      <w:divBdr>
        <w:top w:val="none" w:sz="0" w:space="0" w:color="auto"/>
        <w:left w:val="none" w:sz="0" w:space="0" w:color="auto"/>
        <w:bottom w:val="none" w:sz="0" w:space="0" w:color="auto"/>
        <w:right w:val="none" w:sz="0" w:space="0" w:color="auto"/>
      </w:divBdr>
      <w:divsChild>
        <w:div w:id="1889341782">
          <w:marLeft w:val="0"/>
          <w:marRight w:val="0"/>
          <w:marTop w:val="0"/>
          <w:marBottom w:val="0"/>
          <w:divBdr>
            <w:top w:val="none" w:sz="0" w:space="0" w:color="auto"/>
            <w:left w:val="none" w:sz="0" w:space="0" w:color="auto"/>
            <w:bottom w:val="none" w:sz="0" w:space="0" w:color="auto"/>
            <w:right w:val="none" w:sz="0" w:space="0" w:color="auto"/>
          </w:divBdr>
          <w:divsChild>
            <w:div w:id="850294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413857">
      <w:bodyDiv w:val="1"/>
      <w:marLeft w:val="0"/>
      <w:marRight w:val="0"/>
      <w:marTop w:val="0"/>
      <w:marBottom w:val="0"/>
      <w:divBdr>
        <w:top w:val="none" w:sz="0" w:space="0" w:color="auto"/>
        <w:left w:val="none" w:sz="0" w:space="0" w:color="auto"/>
        <w:bottom w:val="none" w:sz="0" w:space="0" w:color="auto"/>
        <w:right w:val="none" w:sz="0" w:space="0" w:color="auto"/>
      </w:divBdr>
      <w:divsChild>
        <w:div w:id="1975141117">
          <w:marLeft w:val="0"/>
          <w:marRight w:val="0"/>
          <w:marTop w:val="0"/>
          <w:marBottom w:val="0"/>
          <w:divBdr>
            <w:top w:val="none" w:sz="0" w:space="0" w:color="auto"/>
            <w:left w:val="none" w:sz="0" w:space="0" w:color="auto"/>
            <w:bottom w:val="none" w:sz="0" w:space="0" w:color="auto"/>
            <w:right w:val="none" w:sz="0" w:space="0" w:color="auto"/>
          </w:divBdr>
          <w:divsChild>
            <w:div w:id="60712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894005">
      <w:bodyDiv w:val="1"/>
      <w:marLeft w:val="0"/>
      <w:marRight w:val="0"/>
      <w:marTop w:val="0"/>
      <w:marBottom w:val="0"/>
      <w:divBdr>
        <w:top w:val="none" w:sz="0" w:space="0" w:color="auto"/>
        <w:left w:val="none" w:sz="0" w:space="0" w:color="auto"/>
        <w:bottom w:val="none" w:sz="0" w:space="0" w:color="auto"/>
        <w:right w:val="none" w:sz="0" w:space="0" w:color="auto"/>
      </w:divBdr>
      <w:divsChild>
        <w:div w:id="520045403">
          <w:marLeft w:val="0"/>
          <w:marRight w:val="0"/>
          <w:marTop w:val="0"/>
          <w:marBottom w:val="0"/>
          <w:divBdr>
            <w:top w:val="none" w:sz="0" w:space="0" w:color="auto"/>
            <w:left w:val="none" w:sz="0" w:space="0" w:color="auto"/>
            <w:bottom w:val="none" w:sz="0" w:space="0" w:color="auto"/>
            <w:right w:val="none" w:sz="0" w:space="0" w:color="auto"/>
          </w:divBdr>
          <w:divsChild>
            <w:div w:id="203996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562243">
      <w:bodyDiv w:val="1"/>
      <w:marLeft w:val="0"/>
      <w:marRight w:val="0"/>
      <w:marTop w:val="0"/>
      <w:marBottom w:val="0"/>
      <w:divBdr>
        <w:top w:val="none" w:sz="0" w:space="0" w:color="auto"/>
        <w:left w:val="none" w:sz="0" w:space="0" w:color="auto"/>
        <w:bottom w:val="none" w:sz="0" w:space="0" w:color="auto"/>
        <w:right w:val="none" w:sz="0" w:space="0" w:color="auto"/>
      </w:divBdr>
      <w:divsChild>
        <w:div w:id="518157888">
          <w:marLeft w:val="0"/>
          <w:marRight w:val="0"/>
          <w:marTop w:val="0"/>
          <w:marBottom w:val="0"/>
          <w:divBdr>
            <w:top w:val="none" w:sz="0" w:space="0" w:color="auto"/>
            <w:left w:val="none" w:sz="0" w:space="0" w:color="auto"/>
            <w:bottom w:val="none" w:sz="0" w:space="0" w:color="auto"/>
            <w:right w:val="none" w:sz="0" w:space="0" w:color="auto"/>
          </w:divBdr>
          <w:divsChild>
            <w:div w:id="10717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354367">
      <w:bodyDiv w:val="1"/>
      <w:marLeft w:val="0"/>
      <w:marRight w:val="0"/>
      <w:marTop w:val="0"/>
      <w:marBottom w:val="0"/>
      <w:divBdr>
        <w:top w:val="none" w:sz="0" w:space="0" w:color="auto"/>
        <w:left w:val="none" w:sz="0" w:space="0" w:color="auto"/>
        <w:bottom w:val="none" w:sz="0" w:space="0" w:color="auto"/>
        <w:right w:val="none" w:sz="0" w:space="0" w:color="auto"/>
      </w:divBdr>
      <w:divsChild>
        <w:div w:id="957250416">
          <w:marLeft w:val="0"/>
          <w:marRight w:val="0"/>
          <w:marTop w:val="0"/>
          <w:marBottom w:val="0"/>
          <w:divBdr>
            <w:top w:val="none" w:sz="0" w:space="0" w:color="auto"/>
            <w:left w:val="none" w:sz="0" w:space="0" w:color="auto"/>
            <w:bottom w:val="none" w:sz="0" w:space="0" w:color="auto"/>
            <w:right w:val="none" w:sz="0" w:space="0" w:color="auto"/>
          </w:divBdr>
          <w:divsChild>
            <w:div w:id="14400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163726">
      <w:bodyDiv w:val="1"/>
      <w:marLeft w:val="0"/>
      <w:marRight w:val="0"/>
      <w:marTop w:val="0"/>
      <w:marBottom w:val="0"/>
      <w:divBdr>
        <w:top w:val="none" w:sz="0" w:space="0" w:color="auto"/>
        <w:left w:val="none" w:sz="0" w:space="0" w:color="auto"/>
        <w:bottom w:val="none" w:sz="0" w:space="0" w:color="auto"/>
        <w:right w:val="none" w:sz="0" w:space="0" w:color="auto"/>
      </w:divBdr>
      <w:divsChild>
        <w:div w:id="335813074">
          <w:marLeft w:val="0"/>
          <w:marRight w:val="0"/>
          <w:marTop w:val="0"/>
          <w:marBottom w:val="0"/>
          <w:divBdr>
            <w:top w:val="none" w:sz="0" w:space="0" w:color="auto"/>
            <w:left w:val="none" w:sz="0" w:space="0" w:color="auto"/>
            <w:bottom w:val="none" w:sz="0" w:space="0" w:color="auto"/>
            <w:right w:val="none" w:sz="0" w:space="0" w:color="auto"/>
          </w:divBdr>
          <w:divsChild>
            <w:div w:id="95814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311985">
      <w:bodyDiv w:val="1"/>
      <w:marLeft w:val="0"/>
      <w:marRight w:val="0"/>
      <w:marTop w:val="0"/>
      <w:marBottom w:val="0"/>
      <w:divBdr>
        <w:top w:val="none" w:sz="0" w:space="0" w:color="auto"/>
        <w:left w:val="none" w:sz="0" w:space="0" w:color="auto"/>
        <w:bottom w:val="none" w:sz="0" w:space="0" w:color="auto"/>
        <w:right w:val="none" w:sz="0" w:space="0" w:color="auto"/>
      </w:divBdr>
      <w:divsChild>
        <w:div w:id="1614508111">
          <w:marLeft w:val="0"/>
          <w:marRight w:val="0"/>
          <w:marTop w:val="0"/>
          <w:marBottom w:val="0"/>
          <w:divBdr>
            <w:top w:val="none" w:sz="0" w:space="0" w:color="auto"/>
            <w:left w:val="none" w:sz="0" w:space="0" w:color="auto"/>
            <w:bottom w:val="none" w:sz="0" w:space="0" w:color="auto"/>
            <w:right w:val="none" w:sz="0" w:space="0" w:color="auto"/>
          </w:divBdr>
          <w:divsChild>
            <w:div w:id="69496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082210">
      <w:bodyDiv w:val="1"/>
      <w:marLeft w:val="0"/>
      <w:marRight w:val="0"/>
      <w:marTop w:val="0"/>
      <w:marBottom w:val="0"/>
      <w:divBdr>
        <w:top w:val="none" w:sz="0" w:space="0" w:color="auto"/>
        <w:left w:val="none" w:sz="0" w:space="0" w:color="auto"/>
        <w:bottom w:val="none" w:sz="0" w:space="0" w:color="auto"/>
        <w:right w:val="none" w:sz="0" w:space="0" w:color="auto"/>
      </w:divBdr>
      <w:divsChild>
        <w:div w:id="983587954">
          <w:marLeft w:val="0"/>
          <w:marRight w:val="0"/>
          <w:marTop w:val="0"/>
          <w:marBottom w:val="0"/>
          <w:divBdr>
            <w:top w:val="none" w:sz="0" w:space="0" w:color="auto"/>
            <w:left w:val="none" w:sz="0" w:space="0" w:color="auto"/>
            <w:bottom w:val="none" w:sz="0" w:space="0" w:color="auto"/>
            <w:right w:val="none" w:sz="0" w:space="0" w:color="auto"/>
          </w:divBdr>
          <w:divsChild>
            <w:div w:id="130773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78058">
      <w:bodyDiv w:val="1"/>
      <w:marLeft w:val="0"/>
      <w:marRight w:val="0"/>
      <w:marTop w:val="0"/>
      <w:marBottom w:val="0"/>
      <w:divBdr>
        <w:top w:val="none" w:sz="0" w:space="0" w:color="auto"/>
        <w:left w:val="none" w:sz="0" w:space="0" w:color="auto"/>
        <w:bottom w:val="none" w:sz="0" w:space="0" w:color="auto"/>
        <w:right w:val="none" w:sz="0" w:space="0" w:color="auto"/>
      </w:divBdr>
      <w:divsChild>
        <w:div w:id="1956474412">
          <w:marLeft w:val="0"/>
          <w:marRight w:val="0"/>
          <w:marTop w:val="0"/>
          <w:marBottom w:val="0"/>
          <w:divBdr>
            <w:top w:val="none" w:sz="0" w:space="0" w:color="auto"/>
            <w:left w:val="none" w:sz="0" w:space="0" w:color="auto"/>
            <w:bottom w:val="none" w:sz="0" w:space="0" w:color="auto"/>
            <w:right w:val="none" w:sz="0" w:space="0" w:color="auto"/>
          </w:divBdr>
          <w:divsChild>
            <w:div w:id="113498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391138">
      <w:bodyDiv w:val="1"/>
      <w:marLeft w:val="0"/>
      <w:marRight w:val="0"/>
      <w:marTop w:val="0"/>
      <w:marBottom w:val="0"/>
      <w:divBdr>
        <w:top w:val="none" w:sz="0" w:space="0" w:color="auto"/>
        <w:left w:val="none" w:sz="0" w:space="0" w:color="auto"/>
        <w:bottom w:val="none" w:sz="0" w:space="0" w:color="auto"/>
        <w:right w:val="none" w:sz="0" w:space="0" w:color="auto"/>
      </w:divBdr>
      <w:divsChild>
        <w:div w:id="1575505833">
          <w:marLeft w:val="0"/>
          <w:marRight w:val="0"/>
          <w:marTop w:val="0"/>
          <w:marBottom w:val="0"/>
          <w:divBdr>
            <w:top w:val="none" w:sz="0" w:space="0" w:color="auto"/>
            <w:left w:val="none" w:sz="0" w:space="0" w:color="auto"/>
            <w:bottom w:val="none" w:sz="0" w:space="0" w:color="auto"/>
            <w:right w:val="none" w:sz="0" w:space="0" w:color="auto"/>
          </w:divBdr>
          <w:divsChild>
            <w:div w:id="7680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695778">
      <w:bodyDiv w:val="1"/>
      <w:marLeft w:val="0"/>
      <w:marRight w:val="0"/>
      <w:marTop w:val="0"/>
      <w:marBottom w:val="0"/>
      <w:divBdr>
        <w:top w:val="none" w:sz="0" w:space="0" w:color="auto"/>
        <w:left w:val="none" w:sz="0" w:space="0" w:color="auto"/>
        <w:bottom w:val="none" w:sz="0" w:space="0" w:color="auto"/>
        <w:right w:val="none" w:sz="0" w:space="0" w:color="auto"/>
      </w:divBdr>
      <w:divsChild>
        <w:div w:id="2104839822">
          <w:marLeft w:val="0"/>
          <w:marRight w:val="0"/>
          <w:marTop w:val="0"/>
          <w:marBottom w:val="0"/>
          <w:divBdr>
            <w:top w:val="none" w:sz="0" w:space="0" w:color="auto"/>
            <w:left w:val="none" w:sz="0" w:space="0" w:color="auto"/>
            <w:bottom w:val="none" w:sz="0" w:space="0" w:color="auto"/>
            <w:right w:val="none" w:sz="0" w:space="0" w:color="auto"/>
          </w:divBdr>
          <w:divsChild>
            <w:div w:id="55555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975625">
      <w:bodyDiv w:val="1"/>
      <w:marLeft w:val="0"/>
      <w:marRight w:val="0"/>
      <w:marTop w:val="0"/>
      <w:marBottom w:val="0"/>
      <w:divBdr>
        <w:top w:val="none" w:sz="0" w:space="0" w:color="auto"/>
        <w:left w:val="none" w:sz="0" w:space="0" w:color="auto"/>
        <w:bottom w:val="none" w:sz="0" w:space="0" w:color="auto"/>
        <w:right w:val="none" w:sz="0" w:space="0" w:color="auto"/>
      </w:divBdr>
      <w:divsChild>
        <w:div w:id="2128353283">
          <w:marLeft w:val="0"/>
          <w:marRight w:val="0"/>
          <w:marTop w:val="0"/>
          <w:marBottom w:val="0"/>
          <w:divBdr>
            <w:top w:val="none" w:sz="0" w:space="0" w:color="auto"/>
            <w:left w:val="none" w:sz="0" w:space="0" w:color="auto"/>
            <w:bottom w:val="none" w:sz="0" w:space="0" w:color="auto"/>
            <w:right w:val="none" w:sz="0" w:space="0" w:color="auto"/>
          </w:divBdr>
          <w:divsChild>
            <w:div w:id="1533421016">
              <w:marLeft w:val="0"/>
              <w:marRight w:val="0"/>
              <w:marTop w:val="0"/>
              <w:marBottom w:val="0"/>
              <w:divBdr>
                <w:top w:val="none" w:sz="0" w:space="0" w:color="auto"/>
                <w:left w:val="none" w:sz="0" w:space="0" w:color="auto"/>
                <w:bottom w:val="none" w:sz="0" w:space="0" w:color="auto"/>
                <w:right w:val="none" w:sz="0" w:space="0" w:color="auto"/>
              </w:divBdr>
              <w:divsChild>
                <w:div w:id="625543191">
                  <w:marLeft w:val="0"/>
                  <w:marRight w:val="0"/>
                  <w:marTop w:val="0"/>
                  <w:marBottom w:val="0"/>
                  <w:divBdr>
                    <w:top w:val="none" w:sz="0" w:space="0" w:color="auto"/>
                    <w:left w:val="none" w:sz="0" w:space="0" w:color="auto"/>
                    <w:bottom w:val="none" w:sz="0" w:space="0" w:color="auto"/>
                    <w:right w:val="none" w:sz="0" w:space="0" w:color="auto"/>
                  </w:divBdr>
                  <w:divsChild>
                    <w:div w:id="696003268">
                      <w:marLeft w:val="0"/>
                      <w:marRight w:val="0"/>
                      <w:marTop w:val="0"/>
                      <w:marBottom w:val="0"/>
                      <w:divBdr>
                        <w:top w:val="none" w:sz="0" w:space="0" w:color="auto"/>
                        <w:left w:val="none" w:sz="0" w:space="0" w:color="auto"/>
                        <w:bottom w:val="none" w:sz="0" w:space="0" w:color="auto"/>
                        <w:right w:val="none" w:sz="0" w:space="0" w:color="auto"/>
                      </w:divBdr>
                    </w:div>
                  </w:divsChild>
                </w:div>
                <w:div w:id="723678234">
                  <w:marLeft w:val="0"/>
                  <w:marRight w:val="0"/>
                  <w:marTop w:val="0"/>
                  <w:marBottom w:val="0"/>
                  <w:divBdr>
                    <w:top w:val="none" w:sz="0" w:space="0" w:color="auto"/>
                    <w:left w:val="none" w:sz="0" w:space="0" w:color="auto"/>
                    <w:bottom w:val="none" w:sz="0" w:space="0" w:color="auto"/>
                    <w:right w:val="none" w:sz="0" w:space="0" w:color="auto"/>
                  </w:divBdr>
                  <w:divsChild>
                    <w:div w:id="2080251714">
                      <w:marLeft w:val="0"/>
                      <w:marRight w:val="0"/>
                      <w:marTop w:val="0"/>
                      <w:marBottom w:val="0"/>
                      <w:divBdr>
                        <w:top w:val="none" w:sz="0" w:space="0" w:color="auto"/>
                        <w:left w:val="none" w:sz="0" w:space="0" w:color="auto"/>
                        <w:bottom w:val="none" w:sz="0" w:space="0" w:color="auto"/>
                        <w:right w:val="none" w:sz="0" w:space="0" w:color="auto"/>
                      </w:divBdr>
                    </w:div>
                  </w:divsChild>
                </w:div>
                <w:div w:id="1022319804">
                  <w:marLeft w:val="0"/>
                  <w:marRight w:val="0"/>
                  <w:marTop w:val="0"/>
                  <w:marBottom w:val="0"/>
                  <w:divBdr>
                    <w:top w:val="none" w:sz="0" w:space="0" w:color="auto"/>
                    <w:left w:val="none" w:sz="0" w:space="0" w:color="auto"/>
                    <w:bottom w:val="none" w:sz="0" w:space="0" w:color="auto"/>
                    <w:right w:val="none" w:sz="0" w:space="0" w:color="auto"/>
                  </w:divBdr>
                  <w:divsChild>
                    <w:div w:id="71219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18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333623">
      <w:bodyDiv w:val="1"/>
      <w:marLeft w:val="0"/>
      <w:marRight w:val="0"/>
      <w:marTop w:val="0"/>
      <w:marBottom w:val="0"/>
      <w:divBdr>
        <w:top w:val="none" w:sz="0" w:space="0" w:color="auto"/>
        <w:left w:val="none" w:sz="0" w:space="0" w:color="auto"/>
        <w:bottom w:val="none" w:sz="0" w:space="0" w:color="auto"/>
        <w:right w:val="none" w:sz="0" w:space="0" w:color="auto"/>
      </w:divBdr>
      <w:divsChild>
        <w:div w:id="294722280">
          <w:marLeft w:val="0"/>
          <w:marRight w:val="0"/>
          <w:marTop w:val="0"/>
          <w:marBottom w:val="0"/>
          <w:divBdr>
            <w:top w:val="none" w:sz="0" w:space="0" w:color="auto"/>
            <w:left w:val="none" w:sz="0" w:space="0" w:color="auto"/>
            <w:bottom w:val="none" w:sz="0" w:space="0" w:color="auto"/>
            <w:right w:val="none" w:sz="0" w:space="0" w:color="auto"/>
          </w:divBdr>
          <w:divsChild>
            <w:div w:id="189827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117479">
      <w:bodyDiv w:val="1"/>
      <w:marLeft w:val="0"/>
      <w:marRight w:val="0"/>
      <w:marTop w:val="0"/>
      <w:marBottom w:val="0"/>
      <w:divBdr>
        <w:top w:val="none" w:sz="0" w:space="0" w:color="auto"/>
        <w:left w:val="none" w:sz="0" w:space="0" w:color="auto"/>
        <w:bottom w:val="none" w:sz="0" w:space="0" w:color="auto"/>
        <w:right w:val="none" w:sz="0" w:space="0" w:color="auto"/>
      </w:divBdr>
      <w:divsChild>
        <w:div w:id="1651979359">
          <w:marLeft w:val="0"/>
          <w:marRight w:val="0"/>
          <w:marTop w:val="0"/>
          <w:marBottom w:val="0"/>
          <w:divBdr>
            <w:top w:val="none" w:sz="0" w:space="0" w:color="auto"/>
            <w:left w:val="none" w:sz="0" w:space="0" w:color="auto"/>
            <w:bottom w:val="none" w:sz="0" w:space="0" w:color="auto"/>
            <w:right w:val="none" w:sz="0" w:space="0" w:color="auto"/>
          </w:divBdr>
          <w:divsChild>
            <w:div w:id="98547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148843">
      <w:bodyDiv w:val="1"/>
      <w:marLeft w:val="0"/>
      <w:marRight w:val="0"/>
      <w:marTop w:val="0"/>
      <w:marBottom w:val="0"/>
      <w:divBdr>
        <w:top w:val="none" w:sz="0" w:space="0" w:color="auto"/>
        <w:left w:val="none" w:sz="0" w:space="0" w:color="auto"/>
        <w:bottom w:val="none" w:sz="0" w:space="0" w:color="auto"/>
        <w:right w:val="none" w:sz="0" w:space="0" w:color="auto"/>
      </w:divBdr>
      <w:divsChild>
        <w:div w:id="536242085">
          <w:marLeft w:val="0"/>
          <w:marRight w:val="0"/>
          <w:marTop w:val="0"/>
          <w:marBottom w:val="0"/>
          <w:divBdr>
            <w:top w:val="none" w:sz="0" w:space="0" w:color="auto"/>
            <w:left w:val="none" w:sz="0" w:space="0" w:color="auto"/>
            <w:bottom w:val="none" w:sz="0" w:space="0" w:color="auto"/>
            <w:right w:val="none" w:sz="0" w:space="0" w:color="auto"/>
          </w:divBdr>
          <w:divsChild>
            <w:div w:id="180407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342040">
      <w:bodyDiv w:val="1"/>
      <w:marLeft w:val="0"/>
      <w:marRight w:val="0"/>
      <w:marTop w:val="0"/>
      <w:marBottom w:val="0"/>
      <w:divBdr>
        <w:top w:val="none" w:sz="0" w:space="0" w:color="auto"/>
        <w:left w:val="none" w:sz="0" w:space="0" w:color="auto"/>
        <w:bottom w:val="none" w:sz="0" w:space="0" w:color="auto"/>
        <w:right w:val="none" w:sz="0" w:space="0" w:color="auto"/>
      </w:divBdr>
      <w:divsChild>
        <w:div w:id="1079984215">
          <w:marLeft w:val="0"/>
          <w:marRight w:val="0"/>
          <w:marTop w:val="0"/>
          <w:marBottom w:val="0"/>
          <w:divBdr>
            <w:top w:val="none" w:sz="0" w:space="0" w:color="auto"/>
            <w:left w:val="none" w:sz="0" w:space="0" w:color="auto"/>
            <w:bottom w:val="none" w:sz="0" w:space="0" w:color="auto"/>
            <w:right w:val="none" w:sz="0" w:space="0" w:color="auto"/>
          </w:divBdr>
          <w:divsChild>
            <w:div w:id="86444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49483">
      <w:bodyDiv w:val="1"/>
      <w:marLeft w:val="0"/>
      <w:marRight w:val="0"/>
      <w:marTop w:val="0"/>
      <w:marBottom w:val="0"/>
      <w:divBdr>
        <w:top w:val="none" w:sz="0" w:space="0" w:color="auto"/>
        <w:left w:val="none" w:sz="0" w:space="0" w:color="auto"/>
        <w:bottom w:val="none" w:sz="0" w:space="0" w:color="auto"/>
        <w:right w:val="none" w:sz="0" w:space="0" w:color="auto"/>
      </w:divBdr>
      <w:divsChild>
        <w:div w:id="1973247181">
          <w:marLeft w:val="0"/>
          <w:marRight w:val="0"/>
          <w:marTop w:val="0"/>
          <w:marBottom w:val="0"/>
          <w:divBdr>
            <w:top w:val="none" w:sz="0" w:space="0" w:color="auto"/>
            <w:left w:val="none" w:sz="0" w:space="0" w:color="auto"/>
            <w:bottom w:val="none" w:sz="0" w:space="0" w:color="auto"/>
            <w:right w:val="none" w:sz="0" w:space="0" w:color="auto"/>
          </w:divBdr>
          <w:divsChild>
            <w:div w:id="121388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05738">
      <w:bodyDiv w:val="1"/>
      <w:marLeft w:val="0"/>
      <w:marRight w:val="0"/>
      <w:marTop w:val="0"/>
      <w:marBottom w:val="0"/>
      <w:divBdr>
        <w:top w:val="none" w:sz="0" w:space="0" w:color="auto"/>
        <w:left w:val="none" w:sz="0" w:space="0" w:color="auto"/>
        <w:bottom w:val="none" w:sz="0" w:space="0" w:color="auto"/>
        <w:right w:val="none" w:sz="0" w:space="0" w:color="auto"/>
      </w:divBdr>
      <w:divsChild>
        <w:div w:id="1467351993">
          <w:marLeft w:val="0"/>
          <w:marRight w:val="0"/>
          <w:marTop w:val="0"/>
          <w:marBottom w:val="0"/>
          <w:divBdr>
            <w:top w:val="none" w:sz="0" w:space="0" w:color="auto"/>
            <w:left w:val="none" w:sz="0" w:space="0" w:color="auto"/>
            <w:bottom w:val="none" w:sz="0" w:space="0" w:color="auto"/>
            <w:right w:val="none" w:sz="0" w:space="0" w:color="auto"/>
          </w:divBdr>
          <w:divsChild>
            <w:div w:id="32879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430647">
      <w:bodyDiv w:val="1"/>
      <w:marLeft w:val="0"/>
      <w:marRight w:val="0"/>
      <w:marTop w:val="0"/>
      <w:marBottom w:val="0"/>
      <w:divBdr>
        <w:top w:val="none" w:sz="0" w:space="0" w:color="auto"/>
        <w:left w:val="none" w:sz="0" w:space="0" w:color="auto"/>
        <w:bottom w:val="none" w:sz="0" w:space="0" w:color="auto"/>
        <w:right w:val="none" w:sz="0" w:space="0" w:color="auto"/>
      </w:divBdr>
      <w:divsChild>
        <w:div w:id="734083912">
          <w:marLeft w:val="0"/>
          <w:marRight w:val="0"/>
          <w:marTop w:val="0"/>
          <w:marBottom w:val="0"/>
          <w:divBdr>
            <w:top w:val="none" w:sz="0" w:space="0" w:color="auto"/>
            <w:left w:val="none" w:sz="0" w:space="0" w:color="auto"/>
            <w:bottom w:val="none" w:sz="0" w:space="0" w:color="auto"/>
            <w:right w:val="none" w:sz="0" w:space="0" w:color="auto"/>
          </w:divBdr>
          <w:divsChild>
            <w:div w:id="159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146109">
      <w:bodyDiv w:val="1"/>
      <w:marLeft w:val="0"/>
      <w:marRight w:val="0"/>
      <w:marTop w:val="0"/>
      <w:marBottom w:val="0"/>
      <w:divBdr>
        <w:top w:val="none" w:sz="0" w:space="0" w:color="auto"/>
        <w:left w:val="none" w:sz="0" w:space="0" w:color="auto"/>
        <w:bottom w:val="none" w:sz="0" w:space="0" w:color="auto"/>
        <w:right w:val="none" w:sz="0" w:space="0" w:color="auto"/>
      </w:divBdr>
      <w:divsChild>
        <w:div w:id="1269460458">
          <w:marLeft w:val="0"/>
          <w:marRight w:val="0"/>
          <w:marTop w:val="0"/>
          <w:marBottom w:val="0"/>
          <w:divBdr>
            <w:top w:val="none" w:sz="0" w:space="0" w:color="auto"/>
            <w:left w:val="none" w:sz="0" w:space="0" w:color="auto"/>
            <w:bottom w:val="none" w:sz="0" w:space="0" w:color="auto"/>
            <w:right w:val="none" w:sz="0" w:space="0" w:color="auto"/>
          </w:divBdr>
          <w:divsChild>
            <w:div w:id="34559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042205">
      <w:bodyDiv w:val="1"/>
      <w:marLeft w:val="0"/>
      <w:marRight w:val="0"/>
      <w:marTop w:val="0"/>
      <w:marBottom w:val="0"/>
      <w:divBdr>
        <w:top w:val="none" w:sz="0" w:space="0" w:color="auto"/>
        <w:left w:val="none" w:sz="0" w:space="0" w:color="auto"/>
        <w:bottom w:val="none" w:sz="0" w:space="0" w:color="auto"/>
        <w:right w:val="none" w:sz="0" w:space="0" w:color="auto"/>
      </w:divBdr>
      <w:divsChild>
        <w:div w:id="587732225">
          <w:marLeft w:val="0"/>
          <w:marRight w:val="0"/>
          <w:marTop w:val="0"/>
          <w:marBottom w:val="0"/>
          <w:divBdr>
            <w:top w:val="none" w:sz="0" w:space="0" w:color="auto"/>
            <w:left w:val="none" w:sz="0" w:space="0" w:color="auto"/>
            <w:bottom w:val="none" w:sz="0" w:space="0" w:color="auto"/>
            <w:right w:val="none" w:sz="0" w:space="0" w:color="auto"/>
          </w:divBdr>
          <w:divsChild>
            <w:div w:id="13364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623146">
      <w:bodyDiv w:val="1"/>
      <w:marLeft w:val="0"/>
      <w:marRight w:val="0"/>
      <w:marTop w:val="0"/>
      <w:marBottom w:val="0"/>
      <w:divBdr>
        <w:top w:val="none" w:sz="0" w:space="0" w:color="auto"/>
        <w:left w:val="none" w:sz="0" w:space="0" w:color="auto"/>
        <w:bottom w:val="none" w:sz="0" w:space="0" w:color="auto"/>
        <w:right w:val="none" w:sz="0" w:space="0" w:color="auto"/>
      </w:divBdr>
    </w:div>
    <w:div w:id="1728070500">
      <w:bodyDiv w:val="1"/>
      <w:marLeft w:val="0"/>
      <w:marRight w:val="0"/>
      <w:marTop w:val="0"/>
      <w:marBottom w:val="0"/>
      <w:divBdr>
        <w:top w:val="none" w:sz="0" w:space="0" w:color="auto"/>
        <w:left w:val="none" w:sz="0" w:space="0" w:color="auto"/>
        <w:bottom w:val="none" w:sz="0" w:space="0" w:color="auto"/>
        <w:right w:val="none" w:sz="0" w:space="0" w:color="auto"/>
      </w:divBdr>
      <w:divsChild>
        <w:div w:id="1508716897">
          <w:marLeft w:val="0"/>
          <w:marRight w:val="0"/>
          <w:marTop w:val="0"/>
          <w:marBottom w:val="0"/>
          <w:divBdr>
            <w:top w:val="none" w:sz="0" w:space="0" w:color="auto"/>
            <w:left w:val="none" w:sz="0" w:space="0" w:color="auto"/>
            <w:bottom w:val="none" w:sz="0" w:space="0" w:color="auto"/>
            <w:right w:val="none" w:sz="0" w:space="0" w:color="auto"/>
          </w:divBdr>
          <w:divsChild>
            <w:div w:id="90730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08310">
      <w:bodyDiv w:val="1"/>
      <w:marLeft w:val="0"/>
      <w:marRight w:val="0"/>
      <w:marTop w:val="0"/>
      <w:marBottom w:val="0"/>
      <w:divBdr>
        <w:top w:val="none" w:sz="0" w:space="0" w:color="auto"/>
        <w:left w:val="none" w:sz="0" w:space="0" w:color="auto"/>
        <w:bottom w:val="none" w:sz="0" w:space="0" w:color="auto"/>
        <w:right w:val="none" w:sz="0" w:space="0" w:color="auto"/>
      </w:divBdr>
      <w:divsChild>
        <w:div w:id="623847119">
          <w:marLeft w:val="0"/>
          <w:marRight w:val="0"/>
          <w:marTop w:val="0"/>
          <w:marBottom w:val="0"/>
          <w:divBdr>
            <w:top w:val="none" w:sz="0" w:space="0" w:color="auto"/>
            <w:left w:val="none" w:sz="0" w:space="0" w:color="auto"/>
            <w:bottom w:val="none" w:sz="0" w:space="0" w:color="auto"/>
            <w:right w:val="none" w:sz="0" w:space="0" w:color="auto"/>
          </w:divBdr>
          <w:divsChild>
            <w:div w:id="165387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297359">
      <w:bodyDiv w:val="1"/>
      <w:marLeft w:val="0"/>
      <w:marRight w:val="0"/>
      <w:marTop w:val="0"/>
      <w:marBottom w:val="0"/>
      <w:divBdr>
        <w:top w:val="none" w:sz="0" w:space="0" w:color="auto"/>
        <w:left w:val="none" w:sz="0" w:space="0" w:color="auto"/>
        <w:bottom w:val="none" w:sz="0" w:space="0" w:color="auto"/>
        <w:right w:val="none" w:sz="0" w:space="0" w:color="auto"/>
      </w:divBdr>
      <w:divsChild>
        <w:div w:id="2051569655">
          <w:marLeft w:val="0"/>
          <w:marRight w:val="0"/>
          <w:marTop w:val="0"/>
          <w:marBottom w:val="0"/>
          <w:divBdr>
            <w:top w:val="none" w:sz="0" w:space="0" w:color="auto"/>
            <w:left w:val="none" w:sz="0" w:space="0" w:color="auto"/>
            <w:bottom w:val="none" w:sz="0" w:space="0" w:color="auto"/>
            <w:right w:val="none" w:sz="0" w:space="0" w:color="auto"/>
          </w:divBdr>
          <w:divsChild>
            <w:div w:id="49560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4864</Words>
  <Characters>25149</Characters>
  <Application>Microsoft Macintosh Word</Application>
  <DocSecurity>0</DocSecurity>
  <Lines>369</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29941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2012-03-17T21:21:00Z</cp:lastPrinted>
  <dcterms:created xsi:type="dcterms:W3CDTF">2012-04-30T12:08:00Z</dcterms:created>
  <dcterms:modified xsi:type="dcterms:W3CDTF">2012-06-02T14:03:00Z</dcterms:modified>
  <cp:category/>
</cp:coreProperties>
</file>